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5"/>
        <w:spacing w:before="4"/>
        <w:rPr>
          <w:rFonts w:ascii="Times New Roman" w:hAnsi="Times New Roman" w:cs="Times New Roman"/>
          <w:sz w:val="24"/>
          <w:szCs w:val="24"/>
        </w:rPr>
      </w:pPr>
    </w:p>
    <w:p>
      <w:pPr>
        <w:pStyle w:val="5"/>
        <w:ind w:left="3626"/>
        <w:rPr>
          <w:rFonts w:ascii="Times New Roman" w:hAnsi="Times New Roman" w:cs="Times New Roman"/>
          <w:sz w:val="24"/>
          <w:szCs w:val="24"/>
        </w:rPr>
      </w:pPr>
      <w:r>
        <w:rPr>
          <w:rFonts w:ascii="Times New Roman" w:hAnsi="Times New Roman" w:cs="Times New Roman"/>
          <w:sz w:val="24"/>
          <w:szCs w:val="24"/>
          <w:lang w:eastAsia="zh-CN" w:bidi="ar-SA"/>
        </w:rPr>
        <w:drawing>
          <wp:inline distT="0" distB="0" distL="0" distR="0">
            <wp:extent cx="1267460" cy="1171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268063" cy="1171575"/>
                    </a:xfrm>
                    <a:prstGeom prst="rect">
                      <a:avLst/>
                    </a:prstGeom>
                  </pic:spPr>
                </pic:pic>
              </a:graphicData>
            </a:graphic>
          </wp:inline>
        </w:drawing>
      </w:r>
    </w:p>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2"/>
        <w:spacing w:before="225" w:line="360" w:lineRule="auto"/>
        <w:ind w:right="189"/>
        <w:rPr>
          <w:rFonts w:ascii="Times New Roman" w:hAnsi="Times New Roman" w:cs="Times New Roman"/>
          <w:sz w:val="32"/>
          <w:szCs w:val="32"/>
        </w:rPr>
      </w:pPr>
      <w:r>
        <w:rPr>
          <w:rFonts w:ascii="Times New Roman" w:hAnsi="Times New Roman" w:cs="Times New Roman"/>
          <w:sz w:val="32"/>
          <w:szCs w:val="32"/>
        </w:rPr>
        <w:t>National Agency for Food &amp; Drug Administration &amp; Control (NAFDAC)</w:t>
      </w:r>
    </w:p>
    <w:p>
      <w:pPr>
        <w:pStyle w:val="5"/>
        <w:rPr>
          <w:rFonts w:ascii="Times New Roman" w:hAnsi="Times New Roman" w:cs="Times New Roman"/>
          <w:b/>
          <w:sz w:val="32"/>
          <w:szCs w:val="32"/>
        </w:rPr>
      </w:pPr>
    </w:p>
    <w:p>
      <w:pPr>
        <w:pStyle w:val="5"/>
        <w:rPr>
          <w:rFonts w:ascii="Times New Roman" w:hAnsi="Times New Roman" w:cs="Times New Roman"/>
          <w:b/>
          <w:sz w:val="32"/>
          <w:szCs w:val="32"/>
        </w:rPr>
      </w:pPr>
      <w:bookmarkStart w:id="16" w:name="_GoBack"/>
      <w:bookmarkEnd w:id="16"/>
    </w:p>
    <w:p>
      <w:pPr>
        <w:pStyle w:val="5"/>
        <w:rPr>
          <w:rFonts w:ascii="Times New Roman" w:hAnsi="Times New Roman" w:cs="Times New Roman"/>
          <w:b/>
          <w:sz w:val="32"/>
          <w:szCs w:val="32"/>
        </w:rPr>
      </w:pPr>
    </w:p>
    <w:p>
      <w:pPr>
        <w:pStyle w:val="5"/>
        <w:rPr>
          <w:rFonts w:ascii="Times New Roman" w:hAnsi="Times New Roman" w:cs="Times New Roman"/>
          <w:b/>
          <w:sz w:val="32"/>
          <w:szCs w:val="32"/>
        </w:rPr>
      </w:pPr>
    </w:p>
    <w:p>
      <w:pPr>
        <w:spacing w:line="360" w:lineRule="auto"/>
        <w:ind w:left="188" w:right="185"/>
        <w:jc w:val="center"/>
        <w:rPr>
          <w:rFonts w:ascii="Times New Roman" w:hAnsi="Times New Roman" w:cs="Times New Roman"/>
          <w:b/>
          <w:sz w:val="32"/>
          <w:szCs w:val="32"/>
        </w:rPr>
      </w:pPr>
      <w:r>
        <w:rPr>
          <w:rFonts w:ascii="Times New Roman" w:hAnsi="Times New Roman" w:cs="Times New Roman"/>
          <w:b/>
          <w:sz w:val="32"/>
          <w:szCs w:val="32"/>
        </w:rPr>
        <w:t>Registration &amp; Regulatory Affairs (R &amp; R) Directorate</w:t>
      </w:r>
    </w:p>
    <w:p>
      <w:pPr>
        <w:pStyle w:val="5"/>
        <w:rPr>
          <w:rFonts w:ascii="Times New Roman" w:hAnsi="Times New Roman" w:cs="Times New Roman"/>
          <w:b/>
          <w:sz w:val="32"/>
          <w:szCs w:val="32"/>
        </w:rPr>
      </w:pPr>
    </w:p>
    <w:p>
      <w:pPr>
        <w:pStyle w:val="5"/>
        <w:rPr>
          <w:rFonts w:ascii="Times New Roman" w:hAnsi="Times New Roman" w:cs="Times New Roman"/>
          <w:b/>
          <w:sz w:val="32"/>
          <w:szCs w:val="32"/>
        </w:rPr>
      </w:pPr>
    </w:p>
    <w:p>
      <w:pPr>
        <w:pStyle w:val="5"/>
        <w:rPr>
          <w:rFonts w:ascii="Times New Roman" w:hAnsi="Times New Roman" w:cs="Times New Roman"/>
          <w:b/>
          <w:sz w:val="32"/>
          <w:szCs w:val="32"/>
        </w:rPr>
      </w:pPr>
    </w:p>
    <w:p>
      <w:pPr>
        <w:pStyle w:val="5"/>
        <w:rPr>
          <w:rFonts w:ascii="Times New Roman" w:hAnsi="Times New Roman" w:cs="Times New Roman"/>
          <w:b/>
          <w:sz w:val="32"/>
          <w:szCs w:val="32"/>
        </w:rPr>
      </w:pPr>
    </w:p>
    <w:p>
      <w:pPr>
        <w:pStyle w:val="5"/>
        <w:rPr>
          <w:rFonts w:ascii="Times New Roman" w:hAnsi="Times New Roman" w:cs="Times New Roman"/>
          <w:b/>
          <w:sz w:val="32"/>
          <w:szCs w:val="32"/>
        </w:rPr>
      </w:pPr>
    </w:p>
    <w:p>
      <w:pPr>
        <w:spacing w:line="360" w:lineRule="auto"/>
        <w:ind w:left="188" w:right="365"/>
        <w:jc w:val="center"/>
        <w:rPr>
          <w:rFonts w:ascii="Times New Roman" w:hAnsi="Times New Roman" w:cs="Times New Roman"/>
          <w:b/>
          <w:sz w:val="32"/>
          <w:szCs w:val="32"/>
        </w:rPr>
      </w:pPr>
      <w:r>
        <w:rPr>
          <w:rFonts w:ascii="Times New Roman" w:hAnsi="Times New Roman" w:cs="Times New Roman"/>
          <w:b/>
          <w:sz w:val="32"/>
          <w:szCs w:val="32"/>
        </w:rPr>
        <w:t xml:space="preserve">SUMMARY OF PRODUCT CHARACTERISTICS (SmPC) </w:t>
      </w:r>
    </w:p>
    <w:p>
      <w:pPr>
        <w:spacing w:line="360" w:lineRule="auto"/>
        <w:rPr>
          <w:rFonts w:ascii="Times New Roman" w:hAnsi="Times New Roman" w:cs="Times New Roman"/>
          <w:sz w:val="32"/>
          <w:szCs w:val="32"/>
        </w:rPr>
        <w:sectPr>
          <w:footerReference r:id="rId3" w:type="default"/>
          <w:type w:val="continuous"/>
          <w:pgSz w:w="11910" w:h="16850"/>
          <w:pgMar w:top="1600" w:right="1120" w:bottom="1140" w:left="1300" w:header="720" w:footer="944" w:gutter="0"/>
          <w:pgNumType w:start="1"/>
          <w:cols w:space="720" w:num="1"/>
        </w:sectPr>
      </w:pPr>
    </w:p>
    <w:p>
      <w:pPr>
        <w:pStyle w:val="5"/>
        <w:rPr>
          <w:rFonts w:ascii="Times New Roman" w:hAnsi="Times New Roman" w:cs="Times New Roman"/>
          <w:b/>
          <w:sz w:val="24"/>
          <w:szCs w:val="24"/>
        </w:rPr>
      </w:pPr>
    </w:p>
    <w:p>
      <w:pPr>
        <w:pStyle w:val="4"/>
        <w:numPr>
          <w:ilvl w:val="0"/>
          <w:numId w:val="1"/>
        </w:numPr>
        <w:tabs>
          <w:tab w:val="left" w:pos="802"/>
          <w:tab w:val="left" w:pos="803"/>
        </w:tabs>
        <w:spacing w:before="195"/>
        <w:rPr>
          <w:rFonts w:ascii="Times New Roman" w:hAnsi="Times New Roman" w:cs="Times New Roman"/>
          <w:sz w:val="24"/>
          <w:szCs w:val="24"/>
        </w:rPr>
      </w:pPr>
      <w:r>
        <w:rPr>
          <w:rFonts w:ascii="Times New Roman" w:hAnsi="Times New Roman" w:cs="Times New Roman"/>
          <w:sz w:val="24"/>
          <w:szCs w:val="24"/>
        </w:rPr>
        <w:t>NAME OF THE MEDICINAL</w:t>
      </w:r>
      <w:r>
        <w:rPr>
          <w:rFonts w:ascii="Times New Roman" w:hAnsi="Times New Roman" w:cs="Times New Roman"/>
          <w:spacing w:val="-1"/>
          <w:sz w:val="24"/>
          <w:szCs w:val="24"/>
        </w:rPr>
        <w:t xml:space="preserve"> </w:t>
      </w:r>
      <w:r>
        <w:rPr>
          <w:rFonts w:ascii="Times New Roman" w:hAnsi="Times New Roman" w:cs="Times New Roman"/>
          <w:sz w:val="24"/>
          <w:szCs w:val="24"/>
        </w:rPr>
        <w:t>PRODUCT</w:t>
      </w:r>
    </w:p>
    <w:p>
      <w:pPr>
        <w:pStyle w:val="5"/>
        <w:rPr>
          <w:rFonts w:ascii="Times New Roman" w:hAnsi="Times New Roman" w:cs="Times New Roman"/>
          <w:sz w:val="24"/>
          <w:szCs w:val="24"/>
        </w:rPr>
      </w:pPr>
      <w:r>
        <w:rPr>
          <w:rFonts w:hint="eastAsia" w:ascii="Times New Roman" w:hAnsi="Times New Roman" w:eastAsia="宋体" w:cs="Times New Roman"/>
          <w:bCs/>
          <w:sz w:val="24"/>
          <w:szCs w:val="24"/>
          <w:lang w:val="en-US" w:eastAsia="zh-CN"/>
        </w:rPr>
        <w:t>Loratadine</w:t>
      </w:r>
      <w:r>
        <w:rPr>
          <w:rFonts w:hint="eastAsia" w:ascii="Times New Roman" w:hAnsi="Times New Roman" w:cs="Times New Roman"/>
          <w:bCs/>
          <w:sz w:val="24"/>
          <w:szCs w:val="24"/>
        </w:rPr>
        <w:t xml:space="preserve"> </w:t>
      </w:r>
      <w:r>
        <w:rPr>
          <w:rFonts w:hint="eastAsia" w:ascii="Times New Roman" w:hAnsi="Times New Roman" w:eastAsia="宋体" w:cs="Times New Roman"/>
          <w:bCs/>
          <w:sz w:val="24"/>
          <w:szCs w:val="24"/>
          <w:lang w:val="en-US" w:eastAsia="zh-CN"/>
        </w:rPr>
        <w:t>1</w:t>
      </w:r>
      <w:r>
        <w:rPr>
          <w:rFonts w:hint="eastAsia" w:ascii="Times New Roman" w:hAnsi="Times New Roman" w:cs="Times New Roman"/>
          <w:bCs/>
          <w:sz w:val="24"/>
          <w:szCs w:val="24"/>
        </w:rPr>
        <w:t>0mg tablet</w:t>
      </w:r>
    </w:p>
    <w:p>
      <w:pPr>
        <w:pStyle w:val="5"/>
        <w:spacing w:before="3"/>
        <w:rPr>
          <w:rFonts w:ascii="Times New Roman" w:hAnsi="Times New Roman" w:cs="Times New Roman"/>
          <w:sz w:val="24"/>
          <w:szCs w:val="24"/>
        </w:rPr>
      </w:pPr>
    </w:p>
    <w:p>
      <w:pPr>
        <w:pStyle w:val="4"/>
        <w:numPr>
          <w:ilvl w:val="0"/>
          <w:numId w:val="1"/>
        </w:numPr>
        <w:tabs>
          <w:tab w:val="left" w:pos="725"/>
          <w:tab w:val="left" w:pos="726"/>
        </w:tabs>
        <w:spacing w:before="0"/>
        <w:ind w:left="726" w:hanging="620"/>
        <w:rPr>
          <w:rFonts w:ascii="Times New Roman" w:hAnsi="Times New Roman" w:cs="Times New Roman"/>
          <w:sz w:val="24"/>
          <w:szCs w:val="24"/>
        </w:rPr>
      </w:pPr>
      <w:bookmarkStart w:id="0" w:name="2.__QUALITATIVE_AND_QUANTITATIVE_COMPOSI"/>
      <w:bookmarkEnd w:id="0"/>
      <w:r>
        <w:rPr>
          <w:rFonts w:ascii="Times New Roman" w:hAnsi="Times New Roman" w:cs="Times New Roman"/>
          <w:sz w:val="24"/>
          <w:szCs w:val="24"/>
        </w:rPr>
        <w:t>QUALITATIVE AND QUANTITATIVE</w:t>
      </w:r>
      <w:r>
        <w:rPr>
          <w:rFonts w:ascii="Times New Roman" w:hAnsi="Times New Roman" w:cs="Times New Roman"/>
          <w:spacing w:val="-2"/>
          <w:sz w:val="24"/>
          <w:szCs w:val="24"/>
        </w:rPr>
        <w:t xml:space="preserve"> </w:t>
      </w:r>
      <w:r>
        <w:rPr>
          <w:rFonts w:ascii="Times New Roman" w:hAnsi="Times New Roman" w:cs="Times New Roman"/>
          <w:sz w:val="24"/>
          <w:szCs w:val="24"/>
        </w:rPr>
        <w:t>COMPOSITION</w:t>
      </w:r>
    </w:p>
    <w:p>
      <w:pPr>
        <w:pStyle w:val="5"/>
        <w:rPr>
          <w:rFonts w:ascii="Times New Roman" w:hAnsi="Times New Roman" w:cs="Times New Roman"/>
          <w:sz w:val="24"/>
          <w:szCs w:val="24"/>
        </w:rPr>
      </w:pPr>
      <w:r>
        <w:rPr>
          <w:rFonts w:hint="eastAsia" w:ascii="Times New Roman" w:hAnsi="Times New Roman" w:cs="Times New Roman"/>
          <w:sz w:val="24"/>
          <w:szCs w:val="24"/>
        </w:rPr>
        <w:t>Each tablet contains 10mg Loratadine</w:t>
      </w:r>
    </w:p>
    <w:p>
      <w:pPr>
        <w:pStyle w:val="5"/>
        <w:rPr>
          <w:rFonts w:ascii="Times New Roman" w:hAnsi="Times New Roman" w:cs="Times New Roman"/>
          <w:sz w:val="24"/>
          <w:szCs w:val="24"/>
        </w:rPr>
      </w:pPr>
      <w:r>
        <w:rPr>
          <w:rFonts w:ascii="Times New Roman" w:hAnsi="Times New Roman" w:cs="Times New Roman"/>
          <w:sz w:val="24"/>
          <w:szCs w:val="24"/>
        </w:rPr>
        <w:t>For a full list of excipients, see section 6.1</w:t>
      </w:r>
    </w:p>
    <w:p>
      <w:pPr>
        <w:pStyle w:val="5"/>
        <w:spacing w:before="8"/>
        <w:rPr>
          <w:rFonts w:ascii="Times New Roman" w:hAnsi="Times New Roman" w:cs="Times New Roman"/>
          <w:sz w:val="24"/>
          <w:szCs w:val="24"/>
        </w:rPr>
      </w:pPr>
    </w:p>
    <w:p>
      <w:pPr>
        <w:pStyle w:val="4"/>
        <w:numPr>
          <w:ilvl w:val="0"/>
          <w:numId w:val="1"/>
        </w:numPr>
        <w:tabs>
          <w:tab w:val="left" w:pos="764"/>
          <w:tab w:val="left" w:pos="765"/>
        </w:tabs>
        <w:spacing w:before="1"/>
        <w:ind w:left="764" w:hanging="658"/>
        <w:rPr>
          <w:rFonts w:ascii="Times New Roman" w:hAnsi="Times New Roman" w:cs="Times New Roman"/>
          <w:sz w:val="24"/>
          <w:szCs w:val="24"/>
        </w:rPr>
      </w:pPr>
      <w:bookmarkStart w:id="1" w:name="3.__PHARMACEUTICAL_FORM"/>
      <w:bookmarkEnd w:id="1"/>
      <w:r>
        <w:rPr>
          <w:rFonts w:ascii="Times New Roman" w:hAnsi="Times New Roman" w:cs="Times New Roman"/>
          <w:sz w:val="24"/>
          <w:szCs w:val="24"/>
        </w:rPr>
        <w:t>PHARMACEUTICAL FORM</w:t>
      </w:r>
    </w:p>
    <w:p>
      <w:pPr>
        <w:pStyle w:val="5"/>
        <w:spacing w:before="1"/>
        <w:rPr>
          <w:rFonts w:ascii="Times New Roman" w:hAnsi="Times New Roman" w:cs="Times New Roman"/>
          <w:sz w:val="24"/>
          <w:szCs w:val="24"/>
        </w:rPr>
      </w:pPr>
      <w:r>
        <w:rPr>
          <w:rFonts w:ascii="Times New Roman" w:hAnsi="Times New Roman" w:cs="Times New Roman"/>
          <w:sz w:val="24"/>
          <w:szCs w:val="24"/>
        </w:rPr>
        <w:t>Tablet</w:t>
      </w:r>
    </w:p>
    <w:p>
      <w:pPr>
        <w:pStyle w:val="5"/>
        <w:spacing w:before="1"/>
        <w:rPr>
          <w:rFonts w:ascii="Times New Roman" w:hAnsi="Times New Roman" w:cs="Times New Roman"/>
          <w:sz w:val="24"/>
          <w:szCs w:val="24"/>
        </w:rPr>
      </w:pPr>
    </w:p>
    <w:p>
      <w:pPr>
        <w:pStyle w:val="4"/>
        <w:numPr>
          <w:ilvl w:val="0"/>
          <w:numId w:val="1"/>
        </w:numPr>
        <w:tabs>
          <w:tab w:val="left" w:pos="802"/>
          <w:tab w:val="left" w:pos="803"/>
        </w:tabs>
        <w:spacing w:before="0"/>
        <w:rPr>
          <w:rFonts w:ascii="Times New Roman" w:hAnsi="Times New Roman" w:cs="Times New Roman"/>
          <w:sz w:val="24"/>
          <w:szCs w:val="24"/>
        </w:rPr>
      </w:pPr>
      <w:bookmarkStart w:id="2" w:name="4.__Clinical_particulars"/>
      <w:bookmarkEnd w:id="2"/>
      <w:r>
        <w:rPr>
          <w:rFonts w:ascii="Times New Roman" w:hAnsi="Times New Roman" w:cs="Times New Roman"/>
          <w:sz w:val="24"/>
          <w:szCs w:val="24"/>
        </w:rPr>
        <w:t>Clinical particulars</w:t>
      </w:r>
    </w:p>
    <w:p>
      <w:pPr>
        <w:pStyle w:val="13"/>
        <w:numPr>
          <w:ilvl w:val="1"/>
          <w:numId w:val="1"/>
        </w:numPr>
        <w:tabs>
          <w:tab w:val="left" w:pos="629"/>
          <w:tab w:val="left" w:pos="631"/>
        </w:tabs>
        <w:ind w:left="630" w:hanging="524"/>
        <w:rPr>
          <w:rFonts w:ascii="Times New Roman" w:hAnsi="Times New Roman" w:cs="Times New Roman"/>
          <w:b/>
          <w:sz w:val="24"/>
          <w:szCs w:val="24"/>
        </w:rPr>
      </w:pPr>
      <w:bookmarkStart w:id="3" w:name="4.1__Therapeutic_indications"/>
      <w:bookmarkEnd w:id="3"/>
      <w:r>
        <w:rPr>
          <w:rFonts w:ascii="Times New Roman" w:hAnsi="Times New Roman" w:cs="Times New Roman"/>
          <w:b/>
          <w:sz w:val="24"/>
          <w:szCs w:val="24"/>
        </w:rPr>
        <w:t>Therapeutic</w:t>
      </w:r>
      <w:r>
        <w:rPr>
          <w:rFonts w:ascii="Times New Roman" w:hAnsi="Times New Roman" w:cs="Times New Roman"/>
          <w:b/>
          <w:spacing w:val="-2"/>
          <w:sz w:val="24"/>
          <w:szCs w:val="24"/>
        </w:rPr>
        <w:t xml:space="preserve"> </w:t>
      </w:r>
      <w:r>
        <w:rPr>
          <w:rFonts w:ascii="Times New Roman" w:hAnsi="Times New Roman" w:cs="Times New Roman"/>
          <w:b/>
          <w:sz w:val="24"/>
          <w:szCs w:val="24"/>
        </w:rPr>
        <w:t>indications</w:t>
      </w:r>
    </w:p>
    <w:p>
      <w:pPr>
        <w:pStyle w:val="4"/>
        <w:numPr>
          <w:numId w:val="0"/>
        </w:numPr>
        <w:tabs>
          <w:tab w:val="left" w:pos="597"/>
        </w:tabs>
        <w:ind w:left="106" w:leftChars="0"/>
        <w:rPr>
          <w:rFonts w:hint="default" w:ascii="Times New Roman" w:hAnsi="Times New Roman" w:cs="Times New Roman"/>
          <w:b w:val="0"/>
          <w:bCs w:val="0"/>
          <w:sz w:val="24"/>
          <w:szCs w:val="24"/>
        </w:rPr>
      </w:pPr>
      <w:bookmarkStart w:id="4" w:name="4.2__Posology_and_method_of_administrati"/>
      <w:bookmarkEnd w:id="4"/>
      <w:r>
        <w:rPr>
          <w:rFonts w:hint="default" w:ascii="Times New Roman" w:hAnsi="Times New Roman" w:eastAsia="宋体" w:cs="Times New Roman"/>
          <w:b w:val="0"/>
          <w:bCs w:val="0"/>
          <w:i w:val="0"/>
          <w:caps w:val="0"/>
          <w:color w:val="000000"/>
          <w:spacing w:val="0"/>
          <w:sz w:val="24"/>
          <w:szCs w:val="24"/>
          <w:shd w:val="clear" w:fill="FFFFFF"/>
        </w:rPr>
        <w:t>Loratadine Tablets are indicated for the symptomatic treatment of allergic rhinitis and chronic idiopathic urticaria.</w:t>
      </w:r>
    </w:p>
    <w:p>
      <w:pPr>
        <w:pStyle w:val="4"/>
        <w:numPr>
          <w:ilvl w:val="1"/>
          <w:numId w:val="1"/>
        </w:numPr>
        <w:tabs>
          <w:tab w:val="left" w:pos="597"/>
        </w:tabs>
        <w:ind w:left="596" w:hanging="490"/>
        <w:rPr>
          <w:rFonts w:ascii="Times New Roman" w:hAnsi="Times New Roman" w:cs="Times New Roman"/>
          <w:sz w:val="24"/>
          <w:szCs w:val="24"/>
        </w:rPr>
      </w:pPr>
      <w:r>
        <w:rPr>
          <w:rFonts w:ascii="Times New Roman" w:hAnsi="Times New Roman" w:cs="Times New Roman"/>
          <w:sz w:val="24"/>
          <w:szCs w:val="24"/>
        </w:rPr>
        <w:t>Posology and method of</w:t>
      </w:r>
      <w:r>
        <w:rPr>
          <w:rFonts w:ascii="Times New Roman" w:hAnsi="Times New Roman" w:cs="Times New Roman"/>
          <w:spacing w:val="-26"/>
          <w:sz w:val="24"/>
          <w:szCs w:val="24"/>
        </w:rPr>
        <w:t xml:space="preserve"> </w:t>
      </w:r>
      <w:r>
        <w:rPr>
          <w:rFonts w:ascii="Times New Roman" w:hAnsi="Times New Roman" w:cs="Times New Roman"/>
          <w:sz w:val="24"/>
          <w:szCs w:val="24"/>
        </w:rPr>
        <w:t>administration</w:t>
      </w:r>
    </w:p>
    <w:p>
      <w:pPr>
        <w:pStyle w:val="5"/>
        <w:keepNext w:val="0"/>
        <w:keepLines w:val="0"/>
        <w:pageBreakBefore w:val="0"/>
        <w:widowControl w:val="0"/>
        <w:kinsoku/>
        <w:wordWrap/>
        <w:overflowPunct/>
        <w:topLinePunct w:val="0"/>
        <w:autoSpaceDE w:val="0"/>
        <w:autoSpaceDN w:val="0"/>
        <w:bidi w:val="0"/>
        <w:adjustRightInd/>
        <w:snapToGrid/>
        <w:textAlignment w:val="auto"/>
        <w:rPr>
          <w:rFonts w:hint="eastAsia" w:ascii="Times New Roman" w:hAnsi="Times New Roman" w:cs="Times New Roman"/>
          <w:sz w:val="24"/>
          <w:szCs w:val="24"/>
        </w:rPr>
      </w:pPr>
      <w:r>
        <w:rPr>
          <w:rFonts w:hint="eastAsia" w:ascii="Times New Roman" w:hAnsi="Times New Roman" w:cs="Times New Roman"/>
          <w:sz w:val="24"/>
          <w:szCs w:val="24"/>
        </w:rPr>
        <w:t>Posology</w:t>
      </w:r>
    </w:p>
    <w:p>
      <w:pPr>
        <w:pStyle w:val="5"/>
        <w:keepNext w:val="0"/>
        <w:keepLines w:val="0"/>
        <w:pageBreakBefore w:val="0"/>
        <w:widowControl w:val="0"/>
        <w:kinsoku/>
        <w:wordWrap/>
        <w:overflowPunct/>
        <w:topLinePunct w:val="0"/>
        <w:autoSpaceDE w:val="0"/>
        <w:autoSpaceDN w:val="0"/>
        <w:bidi w:val="0"/>
        <w:adjustRightInd/>
        <w:snapToGrid/>
        <w:textAlignment w:val="auto"/>
        <w:rPr>
          <w:rFonts w:hint="eastAsia" w:ascii="Times New Roman" w:hAnsi="Times New Roman" w:cs="Times New Roman"/>
          <w:sz w:val="24"/>
          <w:szCs w:val="24"/>
        </w:rPr>
      </w:pPr>
    </w:p>
    <w:p>
      <w:pPr>
        <w:pStyle w:val="5"/>
        <w:keepNext w:val="0"/>
        <w:keepLines w:val="0"/>
        <w:pageBreakBefore w:val="0"/>
        <w:widowControl w:val="0"/>
        <w:kinsoku/>
        <w:wordWrap/>
        <w:overflowPunct/>
        <w:topLinePunct w:val="0"/>
        <w:autoSpaceDE w:val="0"/>
        <w:autoSpaceDN w:val="0"/>
        <w:bidi w:val="0"/>
        <w:adjustRightInd/>
        <w:snapToGrid/>
        <w:textAlignment w:val="auto"/>
        <w:rPr>
          <w:rFonts w:hint="eastAsia" w:ascii="Times New Roman" w:hAnsi="Times New Roman" w:cs="Times New Roman"/>
          <w:sz w:val="24"/>
          <w:szCs w:val="24"/>
        </w:rPr>
      </w:pPr>
      <w:r>
        <w:rPr>
          <w:rFonts w:hint="eastAsia" w:ascii="Times New Roman" w:hAnsi="Times New Roman" w:cs="Times New Roman"/>
          <w:sz w:val="24"/>
          <w:szCs w:val="24"/>
        </w:rPr>
        <w:t>Adults and children over 12 years of age:</w:t>
      </w:r>
    </w:p>
    <w:p>
      <w:pPr>
        <w:pStyle w:val="5"/>
        <w:keepNext w:val="0"/>
        <w:keepLines w:val="0"/>
        <w:pageBreakBefore w:val="0"/>
        <w:widowControl w:val="0"/>
        <w:kinsoku/>
        <w:wordWrap/>
        <w:overflowPunct/>
        <w:topLinePunct w:val="0"/>
        <w:autoSpaceDE w:val="0"/>
        <w:autoSpaceDN w:val="0"/>
        <w:bidi w:val="0"/>
        <w:adjustRightInd/>
        <w:snapToGrid/>
        <w:textAlignment w:val="auto"/>
        <w:rPr>
          <w:rFonts w:hint="eastAsia" w:ascii="Times New Roman" w:hAnsi="Times New Roman" w:cs="Times New Roman"/>
          <w:sz w:val="24"/>
          <w:szCs w:val="24"/>
        </w:rPr>
      </w:pPr>
      <w:r>
        <w:rPr>
          <w:rFonts w:hint="eastAsia" w:ascii="Times New Roman" w:hAnsi="Times New Roman" w:cs="Times New Roman"/>
          <w:sz w:val="24"/>
          <w:szCs w:val="24"/>
        </w:rPr>
        <w:t>10 mg once daily. The tablet may be taken without regard to mealtime.</w:t>
      </w:r>
    </w:p>
    <w:p>
      <w:pPr>
        <w:pStyle w:val="5"/>
        <w:keepNext w:val="0"/>
        <w:keepLines w:val="0"/>
        <w:pageBreakBefore w:val="0"/>
        <w:widowControl w:val="0"/>
        <w:kinsoku/>
        <w:wordWrap/>
        <w:overflowPunct/>
        <w:topLinePunct w:val="0"/>
        <w:autoSpaceDE w:val="0"/>
        <w:autoSpaceDN w:val="0"/>
        <w:bidi w:val="0"/>
        <w:adjustRightInd/>
        <w:snapToGrid/>
        <w:textAlignment w:val="auto"/>
        <w:rPr>
          <w:rFonts w:hint="eastAsia" w:ascii="Times New Roman" w:hAnsi="Times New Roman" w:cs="Times New Roman"/>
          <w:sz w:val="24"/>
          <w:szCs w:val="24"/>
        </w:rPr>
      </w:pPr>
      <w:r>
        <w:rPr>
          <w:rFonts w:hint="eastAsia" w:ascii="Times New Roman" w:hAnsi="Times New Roman" w:cs="Times New Roman"/>
          <w:sz w:val="24"/>
          <w:szCs w:val="24"/>
        </w:rPr>
        <w:t>Children 2 to 12 years of age with:</w:t>
      </w:r>
    </w:p>
    <w:p>
      <w:pPr>
        <w:pStyle w:val="5"/>
        <w:keepNext w:val="0"/>
        <w:keepLines w:val="0"/>
        <w:pageBreakBefore w:val="0"/>
        <w:widowControl w:val="0"/>
        <w:kinsoku/>
        <w:wordWrap/>
        <w:overflowPunct/>
        <w:topLinePunct w:val="0"/>
        <w:autoSpaceDE w:val="0"/>
        <w:autoSpaceDN w:val="0"/>
        <w:bidi w:val="0"/>
        <w:adjustRightInd/>
        <w:snapToGrid/>
        <w:textAlignment w:val="auto"/>
        <w:rPr>
          <w:rFonts w:hint="eastAsia" w:ascii="Times New Roman" w:hAnsi="Times New Roman" w:cs="Times New Roman"/>
          <w:sz w:val="24"/>
          <w:szCs w:val="24"/>
        </w:rPr>
      </w:pPr>
      <w:r>
        <w:rPr>
          <w:rFonts w:hint="eastAsia" w:ascii="Times New Roman" w:hAnsi="Times New Roman" w:cs="Times New Roman"/>
          <w:sz w:val="24"/>
          <w:szCs w:val="24"/>
        </w:rPr>
        <w:t>Body weight more than 30 kg: 10 mg once daily.</w:t>
      </w:r>
    </w:p>
    <w:p>
      <w:pPr>
        <w:pStyle w:val="5"/>
        <w:keepNext w:val="0"/>
        <w:keepLines w:val="0"/>
        <w:pageBreakBefore w:val="0"/>
        <w:widowControl w:val="0"/>
        <w:kinsoku/>
        <w:wordWrap/>
        <w:overflowPunct/>
        <w:topLinePunct w:val="0"/>
        <w:autoSpaceDE w:val="0"/>
        <w:autoSpaceDN w:val="0"/>
        <w:bidi w:val="0"/>
        <w:adjustRightInd/>
        <w:snapToGrid/>
        <w:textAlignment w:val="auto"/>
        <w:rPr>
          <w:rFonts w:hint="eastAsia" w:ascii="Times New Roman" w:hAnsi="Times New Roman" w:cs="Times New Roman"/>
          <w:sz w:val="24"/>
          <w:szCs w:val="24"/>
        </w:rPr>
      </w:pPr>
      <w:r>
        <w:rPr>
          <w:rFonts w:hint="eastAsia" w:ascii="Times New Roman" w:hAnsi="Times New Roman" w:cs="Times New Roman"/>
          <w:sz w:val="24"/>
          <w:szCs w:val="24"/>
        </w:rPr>
        <w:t>Body weight 30 kg or less: These tablets are not suitable in children with a body weight less than 30 kg.</w:t>
      </w:r>
    </w:p>
    <w:p>
      <w:pPr>
        <w:pStyle w:val="5"/>
        <w:keepNext w:val="0"/>
        <w:keepLines w:val="0"/>
        <w:pageBreakBefore w:val="0"/>
        <w:widowControl w:val="0"/>
        <w:kinsoku/>
        <w:wordWrap/>
        <w:overflowPunct/>
        <w:topLinePunct w:val="0"/>
        <w:autoSpaceDE w:val="0"/>
        <w:autoSpaceDN w:val="0"/>
        <w:bidi w:val="0"/>
        <w:adjustRightInd/>
        <w:snapToGrid/>
        <w:textAlignment w:val="auto"/>
        <w:rPr>
          <w:rFonts w:hint="eastAsia" w:ascii="Times New Roman" w:hAnsi="Times New Roman" w:cs="Times New Roman"/>
          <w:sz w:val="24"/>
          <w:szCs w:val="24"/>
        </w:rPr>
      </w:pPr>
      <w:r>
        <w:rPr>
          <w:rFonts w:hint="eastAsia" w:ascii="Times New Roman" w:hAnsi="Times New Roman" w:cs="Times New Roman"/>
          <w:sz w:val="24"/>
          <w:szCs w:val="24"/>
        </w:rPr>
        <w:t>Efficacy and safety of Loratadine Tablets in children under 2 years of age has not been established.</w:t>
      </w:r>
    </w:p>
    <w:p>
      <w:pPr>
        <w:pStyle w:val="5"/>
        <w:keepNext w:val="0"/>
        <w:keepLines w:val="0"/>
        <w:pageBreakBefore w:val="0"/>
        <w:widowControl w:val="0"/>
        <w:kinsoku/>
        <w:wordWrap/>
        <w:overflowPunct/>
        <w:topLinePunct w:val="0"/>
        <w:autoSpaceDE w:val="0"/>
        <w:autoSpaceDN w:val="0"/>
        <w:bidi w:val="0"/>
        <w:adjustRightInd/>
        <w:snapToGrid/>
        <w:textAlignment w:val="auto"/>
        <w:rPr>
          <w:rFonts w:hint="eastAsia" w:ascii="Times New Roman" w:hAnsi="Times New Roman" w:cs="Times New Roman"/>
          <w:sz w:val="24"/>
          <w:szCs w:val="24"/>
        </w:rPr>
      </w:pPr>
      <w:r>
        <w:rPr>
          <w:rFonts w:hint="eastAsia" w:ascii="Times New Roman" w:hAnsi="Times New Roman" w:cs="Times New Roman"/>
          <w:sz w:val="24"/>
          <w:szCs w:val="24"/>
        </w:rPr>
        <w:t>Patients with severe liver impairment should be administered a lower initial dose because they may have reduced clearance of loratadine. An initial dose of 10 mg every other day is recommended for adults and children weighing more than 30 kg, and for children weighing 30 kg or less, 5 ml (5 mg) every other day is recommended.</w:t>
      </w:r>
    </w:p>
    <w:p>
      <w:pPr>
        <w:pStyle w:val="5"/>
        <w:keepNext w:val="0"/>
        <w:keepLines w:val="0"/>
        <w:pageBreakBefore w:val="0"/>
        <w:widowControl w:val="0"/>
        <w:kinsoku/>
        <w:wordWrap/>
        <w:overflowPunct/>
        <w:topLinePunct w:val="0"/>
        <w:autoSpaceDE w:val="0"/>
        <w:autoSpaceDN w:val="0"/>
        <w:bidi w:val="0"/>
        <w:adjustRightInd/>
        <w:snapToGrid/>
        <w:textAlignment w:val="auto"/>
        <w:rPr>
          <w:rFonts w:hint="eastAsia" w:ascii="Times New Roman" w:hAnsi="Times New Roman" w:cs="Times New Roman"/>
          <w:sz w:val="24"/>
          <w:szCs w:val="24"/>
        </w:rPr>
      </w:pPr>
      <w:r>
        <w:rPr>
          <w:rFonts w:hint="eastAsia" w:ascii="Times New Roman" w:hAnsi="Times New Roman" w:cs="Times New Roman"/>
          <w:sz w:val="24"/>
          <w:szCs w:val="24"/>
        </w:rPr>
        <w:t>No dosage adjustments are required in the elderly or in patients with renal insufficiency.</w:t>
      </w:r>
    </w:p>
    <w:p>
      <w:pPr>
        <w:pStyle w:val="5"/>
        <w:keepNext w:val="0"/>
        <w:keepLines w:val="0"/>
        <w:pageBreakBefore w:val="0"/>
        <w:widowControl w:val="0"/>
        <w:kinsoku/>
        <w:wordWrap/>
        <w:overflowPunct/>
        <w:topLinePunct w:val="0"/>
        <w:autoSpaceDE w:val="0"/>
        <w:autoSpaceDN w:val="0"/>
        <w:bidi w:val="0"/>
        <w:adjustRightInd/>
        <w:snapToGrid/>
        <w:textAlignment w:val="auto"/>
        <w:rPr>
          <w:rFonts w:hint="eastAsia" w:ascii="Times New Roman" w:hAnsi="Times New Roman" w:cs="Times New Roman"/>
          <w:sz w:val="24"/>
          <w:szCs w:val="24"/>
        </w:rPr>
      </w:pPr>
    </w:p>
    <w:p>
      <w:pPr>
        <w:pStyle w:val="5"/>
        <w:keepNext w:val="0"/>
        <w:keepLines w:val="0"/>
        <w:pageBreakBefore w:val="0"/>
        <w:widowControl w:val="0"/>
        <w:kinsoku/>
        <w:wordWrap/>
        <w:overflowPunct/>
        <w:topLinePunct w:val="0"/>
        <w:autoSpaceDE w:val="0"/>
        <w:autoSpaceDN w:val="0"/>
        <w:bidi w:val="0"/>
        <w:adjustRightInd/>
        <w:snapToGrid/>
        <w:textAlignment w:val="auto"/>
        <w:rPr>
          <w:rFonts w:hint="eastAsia" w:ascii="Times New Roman" w:hAnsi="Times New Roman" w:cs="Times New Roman"/>
          <w:sz w:val="24"/>
          <w:szCs w:val="24"/>
        </w:rPr>
      </w:pPr>
      <w:r>
        <w:rPr>
          <w:rFonts w:hint="eastAsia" w:ascii="Times New Roman" w:hAnsi="Times New Roman" w:cs="Times New Roman"/>
          <w:sz w:val="24"/>
          <w:szCs w:val="24"/>
        </w:rPr>
        <w:t>Method of administration</w:t>
      </w:r>
    </w:p>
    <w:p>
      <w:pPr>
        <w:pStyle w:val="5"/>
        <w:keepNext w:val="0"/>
        <w:keepLines w:val="0"/>
        <w:pageBreakBefore w:val="0"/>
        <w:widowControl w:val="0"/>
        <w:kinsoku/>
        <w:wordWrap/>
        <w:overflowPunct/>
        <w:topLinePunct w:val="0"/>
        <w:autoSpaceDE w:val="0"/>
        <w:autoSpaceDN w:val="0"/>
        <w:bidi w:val="0"/>
        <w:adjustRightInd/>
        <w:snapToGrid/>
        <w:textAlignment w:val="auto"/>
        <w:rPr>
          <w:rFonts w:ascii="Times New Roman" w:hAnsi="Times New Roman" w:cs="Times New Roman"/>
          <w:sz w:val="24"/>
          <w:szCs w:val="24"/>
        </w:rPr>
      </w:pPr>
      <w:r>
        <w:rPr>
          <w:rFonts w:hint="eastAsia" w:ascii="Times New Roman" w:hAnsi="Times New Roman" w:cs="Times New Roman"/>
          <w:sz w:val="24"/>
          <w:szCs w:val="24"/>
        </w:rPr>
        <w:t>For oral administration.</w:t>
      </w:r>
    </w:p>
    <w:p>
      <w:pPr>
        <w:pStyle w:val="5"/>
        <w:spacing w:before="3"/>
        <w:rPr>
          <w:rFonts w:ascii="Times New Roman" w:hAnsi="Times New Roman" w:cs="Times New Roman"/>
          <w:sz w:val="24"/>
          <w:szCs w:val="24"/>
        </w:rPr>
      </w:pPr>
    </w:p>
    <w:p>
      <w:pPr>
        <w:pStyle w:val="4"/>
        <w:numPr>
          <w:ilvl w:val="1"/>
          <w:numId w:val="1"/>
        </w:numPr>
        <w:tabs>
          <w:tab w:val="left" w:pos="649"/>
          <w:tab w:val="left" w:pos="650"/>
        </w:tabs>
        <w:spacing w:before="0"/>
        <w:ind w:left="649" w:hanging="543"/>
        <w:rPr>
          <w:rFonts w:ascii="Times New Roman" w:hAnsi="Times New Roman" w:cs="Times New Roman"/>
          <w:sz w:val="24"/>
          <w:szCs w:val="24"/>
        </w:rPr>
      </w:pPr>
      <w:r>
        <w:rPr>
          <w:rFonts w:ascii="Times New Roman" w:hAnsi="Times New Roman" w:cs="Times New Roman"/>
          <w:sz w:val="24"/>
          <w:szCs w:val="24"/>
        </w:rPr>
        <w:t>Contraindications</w:t>
      </w:r>
    </w:p>
    <w:p>
      <w:pPr>
        <w:pStyle w:val="5"/>
        <w:spacing w:before="121"/>
        <w:rPr>
          <w:rFonts w:ascii="Times New Roman" w:hAnsi="Times New Roman" w:cs="Times New Roman"/>
          <w:sz w:val="24"/>
          <w:szCs w:val="24"/>
          <w:lang w:val="zh-CN"/>
        </w:rPr>
      </w:pPr>
      <w:r>
        <w:rPr>
          <w:rFonts w:ascii="Times New Roman" w:hAnsi="Times New Roman" w:cs="Times New Roman"/>
          <w:sz w:val="24"/>
          <w:szCs w:val="24"/>
          <w:lang w:val="zh-CN"/>
        </w:rPr>
        <w:t>Hypersensitivity to the active substance or to any of the excipients listed in section 6.1.</w:t>
      </w:r>
    </w:p>
    <w:p>
      <w:pPr>
        <w:pStyle w:val="4"/>
        <w:numPr>
          <w:ilvl w:val="1"/>
          <w:numId w:val="1"/>
        </w:numPr>
        <w:tabs>
          <w:tab w:val="left" w:pos="597"/>
        </w:tabs>
        <w:ind w:left="596" w:hanging="490"/>
        <w:rPr>
          <w:rFonts w:ascii="Times New Roman" w:hAnsi="Times New Roman" w:cs="Times New Roman"/>
          <w:sz w:val="24"/>
          <w:szCs w:val="24"/>
        </w:rPr>
      </w:pPr>
      <w:r>
        <w:rPr>
          <w:rFonts w:ascii="Times New Roman" w:hAnsi="Times New Roman" w:cs="Times New Roman"/>
          <w:sz w:val="24"/>
          <w:szCs w:val="24"/>
        </w:rPr>
        <w:t>Special warnings and precautions for</w:t>
      </w:r>
      <w:r>
        <w:rPr>
          <w:rFonts w:ascii="Times New Roman" w:hAnsi="Times New Roman" w:cs="Times New Roman"/>
          <w:spacing w:val="-3"/>
          <w:sz w:val="24"/>
          <w:szCs w:val="24"/>
        </w:rPr>
        <w:t xml:space="preserve"> </w:t>
      </w:r>
      <w:r>
        <w:rPr>
          <w:rFonts w:ascii="Times New Roman" w:hAnsi="Times New Roman" w:cs="Times New Roman"/>
          <w:sz w:val="24"/>
          <w:szCs w:val="24"/>
        </w:rPr>
        <w:t>use</w:t>
      </w:r>
    </w:p>
    <w:p>
      <w:pPr>
        <w:pStyle w:val="5"/>
        <w:rPr>
          <w:rFonts w:hint="eastAsia" w:ascii="Times New Roman" w:hAnsi="Times New Roman" w:cs="Times New Roman"/>
          <w:bCs/>
          <w:sz w:val="24"/>
          <w:szCs w:val="24"/>
        </w:rPr>
      </w:pPr>
      <w:r>
        <w:rPr>
          <w:rFonts w:hint="eastAsia" w:ascii="Times New Roman" w:hAnsi="Times New Roman" w:cs="Times New Roman"/>
          <w:bCs/>
          <w:sz w:val="24"/>
          <w:szCs w:val="24"/>
        </w:rPr>
        <w:t>Loratadine Tablets should be administered with caution in patients with severe liver impairment (see 4.2).</w:t>
      </w:r>
    </w:p>
    <w:p>
      <w:pPr>
        <w:pStyle w:val="5"/>
        <w:rPr>
          <w:rFonts w:hint="eastAsia" w:ascii="Times New Roman" w:hAnsi="Times New Roman" w:cs="Times New Roman"/>
          <w:bCs/>
          <w:sz w:val="24"/>
          <w:szCs w:val="24"/>
        </w:rPr>
      </w:pPr>
    </w:p>
    <w:p>
      <w:pPr>
        <w:pStyle w:val="5"/>
        <w:rPr>
          <w:rFonts w:hint="eastAsia" w:ascii="Times New Roman" w:hAnsi="Times New Roman" w:cs="Times New Roman"/>
          <w:bCs/>
          <w:sz w:val="24"/>
          <w:szCs w:val="24"/>
        </w:rPr>
      </w:pPr>
      <w:r>
        <w:rPr>
          <w:rFonts w:hint="eastAsia" w:ascii="Times New Roman" w:hAnsi="Times New Roman" w:cs="Times New Roman"/>
          <w:bCs/>
          <w:sz w:val="24"/>
          <w:szCs w:val="24"/>
        </w:rPr>
        <w:t>This medicinal product contains lactose. Patients with rare hereditary problems of galactose intolerance, the Lapp lactase deficiency or glucose-galactose malabsorption should not take this medicine.</w:t>
      </w:r>
    </w:p>
    <w:p>
      <w:pPr>
        <w:pStyle w:val="5"/>
        <w:rPr>
          <w:rFonts w:hint="eastAsia" w:ascii="Times New Roman" w:hAnsi="Times New Roman" w:cs="Times New Roman"/>
          <w:bCs/>
          <w:sz w:val="24"/>
          <w:szCs w:val="24"/>
        </w:rPr>
      </w:pPr>
    </w:p>
    <w:p>
      <w:pPr>
        <w:pStyle w:val="5"/>
        <w:rPr>
          <w:rFonts w:ascii="Times New Roman" w:hAnsi="Times New Roman" w:cs="Times New Roman"/>
          <w:bCs/>
          <w:sz w:val="24"/>
          <w:szCs w:val="24"/>
        </w:rPr>
      </w:pPr>
      <w:r>
        <w:rPr>
          <w:rFonts w:hint="eastAsia" w:ascii="Times New Roman" w:hAnsi="Times New Roman" w:cs="Times New Roman"/>
          <w:bCs/>
          <w:sz w:val="24"/>
          <w:szCs w:val="24"/>
        </w:rPr>
        <w:t>The administration of Loratadine Tablets should be discontinued at least 48 hours before skin tests since antihistamines may prevent or reduce otherwise positive reactions to dermal reactivity index.</w:t>
      </w:r>
    </w:p>
    <w:p>
      <w:pPr>
        <w:pStyle w:val="13"/>
        <w:numPr>
          <w:ilvl w:val="1"/>
          <w:numId w:val="1"/>
        </w:numPr>
        <w:tabs>
          <w:tab w:val="left" w:pos="484"/>
        </w:tabs>
        <w:ind w:left="483" w:hanging="377"/>
        <w:rPr>
          <w:rFonts w:ascii="Times New Roman" w:hAnsi="Times New Roman" w:cs="Times New Roman"/>
          <w:b/>
          <w:sz w:val="24"/>
          <w:szCs w:val="24"/>
        </w:rPr>
      </w:pPr>
      <w:bookmarkStart w:id="5" w:name="4.5__Interaction_with_other_medicinal_pr"/>
      <w:bookmarkEnd w:id="5"/>
      <w:r>
        <w:rPr>
          <w:rFonts w:ascii="Times New Roman" w:hAnsi="Times New Roman" w:cs="Times New Roman"/>
          <w:b/>
          <w:sz w:val="24"/>
          <w:szCs w:val="24"/>
        </w:rPr>
        <w:t>Interaction with other medicinal products and other forms of</w:t>
      </w:r>
      <w:r>
        <w:rPr>
          <w:rFonts w:ascii="Times New Roman" w:hAnsi="Times New Roman" w:cs="Times New Roman"/>
          <w:b/>
          <w:spacing w:val="-7"/>
          <w:sz w:val="24"/>
          <w:szCs w:val="24"/>
        </w:rPr>
        <w:t xml:space="preserve"> </w:t>
      </w:r>
      <w:r>
        <w:rPr>
          <w:rFonts w:ascii="Times New Roman" w:hAnsi="Times New Roman" w:cs="Times New Roman"/>
          <w:b/>
          <w:sz w:val="24"/>
          <w:szCs w:val="24"/>
        </w:rPr>
        <w:t>interaction</w:t>
      </w:r>
    </w:p>
    <w:p>
      <w:pPr>
        <w:pStyle w:val="5"/>
        <w:rPr>
          <w:rFonts w:hint="eastAsia" w:ascii="Times New Roman" w:hAnsi="Times New Roman" w:cs="Times New Roman"/>
          <w:sz w:val="24"/>
          <w:szCs w:val="24"/>
        </w:rPr>
      </w:pPr>
      <w:r>
        <w:rPr>
          <w:rFonts w:hint="eastAsia" w:ascii="Times New Roman" w:hAnsi="Times New Roman" w:cs="Times New Roman"/>
          <w:sz w:val="24"/>
          <w:szCs w:val="24"/>
        </w:rPr>
        <w:t>When administered concomitantly with alcohol, Loratadine Tablets have no potentiating effects as measured by psychomotor performance studies.</w:t>
      </w:r>
    </w:p>
    <w:p>
      <w:pPr>
        <w:pStyle w:val="5"/>
        <w:rPr>
          <w:rFonts w:hint="eastAsia" w:ascii="Times New Roman" w:hAnsi="Times New Roman" w:cs="Times New Roman"/>
          <w:sz w:val="24"/>
          <w:szCs w:val="24"/>
        </w:rPr>
      </w:pPr>
    </w:p>
    <w:p>
      <w:pPr>
        <w:pStyle w:val="5"/>
        <w:rPr>
          <w:rFonts w:hint="eastAsia" w:ascii="Times New Roman" w:hAnsi="Times New Roman" w:cs="Times New Roman"/>
          <w:sz w:val="24"/>
          <w:szCs w:val="24"/>
        </w:rPr>
      </w:pPr>
      <w:r>
        <w:rPr>
          <w:rFonts w:hint="eastAsia" w:ascii="Times New Roman" w:hAnsi="Times New Roman" w:cs="Times New Roman"/>
          <w:sz w:val="24"/>
          <w:szCs w:val="24"/>
        </w:rPr>
        <w:t>Potential interaction may occur with all known inhibitors of CYP3A4 or CYP2D6 resulting in elevated levels of loratadine (see Section 5.2), which may cause an increase in adverse events.</w:t>
      </w:r>
    </w:p>
    <w:p>
      <w:pPr>
        <w:pStyle w:val="5"/>
        <w:rPr>
          <w:rFonts w:hint="eastAsia" w:ascii="Times New Roman" w:hAnsi="Times New Roman" w:cs="Times New Roman"/>
          <w:sz w:val="24"/>
          <w:szCs w:val="24"/>
        </w:rPr>
      </w:pPr>
    </w:p>
    <w:p>
      <w:pPr>
        <w:pStyle w:val="5"/>
        <w:rPr>
          <w:rFonts w:hint="eastAsia" w:ascii="Times New Roman" w:hAnsi="Times New Roman" w:cs="Times New Roman"/>
          <w:sz w:val="24"/>
          <w:szCs w:val="24"/>
        </w:rPr>
      </w:pPr>
      <w:r>
        <w:rPr>
          <w:rFonts w:hint="eastAsia" w:ascii="Times New Roman" w:hAnsi="Times New Roman" w:cs="Times New Roman"/>
          <w:sz w:val="24"/>
          <w:szCs w:val="24"/>
        </w:rPr>
        <w:t>Increase in plasma concentrations of loratadine has been reported after concomitant use with ketoconazole, erythromycin, and cimetidine in controlled trials, but without clinically significant changes (including electrocardiographic).</w:t>
      </w:r>
    </w:p>
    <w:p>
      <w:pPr>
        <w:pStyle w:val="5"/>
        <w:rPr>
          <w:rFonts w:hint="eastAsia" w:ascii="Times New Roman" w:hAnsi="Times New Roman" w:cs="Times New Roman"/>
          <w:sz w:val="24"/>
          <w:szCs w:val="24"/>
        </w:rPr>
      </w:pPr>
    </w:p>
    <w:p>
      <w:pPr>
        <w:pStyle w:val="5"/>
        <w:rPr>
          <w:rFonts w:hint="eastAsia" w:ascii="Times New Roman" w:hAnsi="Times New Roman" w:cs="Times New Roman"/>
          <w:sz w:val="24"/>
          <w:szCs w:val="24"/>
        </w:rPr>
      </w:pPr>
      <w:r>
        <w:rPr>
          <w:rFonts w:hint="eastAsia" w:ascii="Times New Roman" w:hAnsi="Times New Roman" w:cs="Times New Roman"/>
          <w:sz w:val="24"/>
          <w:szCs w:val="24"/>
        </w:rPr>
        <w:t>Paediatric population</w:t>
      </w:r>
    </w:p>
    <w:p>
      <w:pPr>
        <w:pStyle w:val="5"/>
        <w:rPr>
          <w:rFonts w:hint="eastAsia" w:ascii="Times New Roman" w:hAnsi="Times New Roman" w:cs="Times New Roman"/>
          <w:sz w:val="24"/>
          <w:szCs w:val="24"/>
        </w:rPr>
      </w:pPr>
    </w:p>
    <w:p>
      <w:pPr>
        <w:pStyle w:val="5"/>
        <w:rPr>
          <w:rFonts w:ascii="Times New Roman" w:hAnsi="Times New Roman" w:cs="Times New Roman"/>
          <w:sz w:val="24"/>
          <w:szCs w:val="24"/>
        </w:rPr>
      </w:pPr>
      <w:r>
        <w:rPr>
          <w:rFonts w:hint="eastAsia" w:ascii="Times New Roman" w:hAnsi="Times New Roman" w:cs="Times New Roman"/>
          <w:sz w:val="24"/>
          <w:szCs w:val="24"/>
        </w:rPr>
        <w:t>Interaction studies have only been performed in adults.</w:t>
      </w:r>
    </w:p>
    <w:p>
      <w:pPr>
        <w:pStyle w:val="4"/>
        <w:numPr>
          <w:ilvl w:val="1"/>
          <w:numId w:val="1"/>
        </w:numPr>
        <w:tabs>
          <w:tab w:val="left" w:pos="599"/>
        </w:tabs>
        <w:spacing w:before="194"/>
        <w:ind w:left="598" w:hanging="492"/>
        <w:rPr>
          <w:rFonts w:ascii="Times New Roman" w:hAnsi="Times New Roman" w:cs="Times New Roman"/>
          <w:sz w:val="24"/>
          <w:szCs w:val="24"/>
        </w:rPr>
      </w:pPr>
      <w:bookmarkStart w:id="6" w:name="4.6__Pregnancy_and_Lactation"/>
      <w:bookmarkEnd w:id="6"/>
      <w:r>
        <w:rPr>
          <w:rFonts w:ascii="Times New Roman" w:hAnsi="Times New Roman" w:cs="Times New Roman"/>
          <w:sz w:val="24"/>
          <w:szCs w:val="24"/>
        </w:rPr>
        <w:t>Pregnancy and Lactation</w:t>
      </w:r>
    </w:p>
    <w:p>
      <w:pPr>
        <w:pStyle w:val="5"/>
        <w:rPr>
          <w:rFonts w:hint="eastAsia" w:ascii="Times New Roman" w:hAnsi="Times New Roman" w:cs="Times New Roman"/>
          <w:sz w:val="24"/>
          <w:szCs w:val="24"/>
        </w:rPr>
      </w:pPr>
      <w:r>
        <w:rPr>
          <w:rFonts w:hint="eastAsia" w:ascii="Times New Roman" w:hAnsi="Times New Roman" w:cs="Times New Roman"/>
          <w:sz w:val="24"/>
          <w:szCs w:val="24"/>
        </w:rPr>
        <w:t>Pregnancy</w:t>
      </w:r>
    </w:p>
    <w:p>
      <w:pPr>
        <w:pStyle w:val="5"/>
        <w:rPr>
          <w:rFonts w:hint="eastAsia" w:ascii="Times New Roman" w:hAnsi="Times New Roman" w:cs="Times New Roman"/>
          <w:sz w:val="24"/>
          <w:szCs w:val="24"/>
        </w:rPr>
      </w:pPr>
      <w:r>
        <w:rPr>
          <w:rFonts w:hint="eastAsia" w:ascii="Times New Roman" w:hAnsi="Times New Roman" w:cs="Times New Roman"/>
          <w:sz w:val="24"/>
          <w:szCs w:val="24"/>
        </w:rPr>
        <w:t>A large amount of data on pregnant women (more than 1000 exposed outcomes) indicate no malformative nor foeto/ neonatal toxicity of loratadine. Animal studies do not indicate direct or indirect harmful effects with respect to reproductive toxicity (see section 5.3). As a precautionary measure, it is preferable to avoid the use of loratadine during pregnancy.</w:t>
      </w:r>
    </w:p>
    <w:p>
      <w:pPr>
        <w:pStyle w:val="5"/>
        <w:rPr>
          <w:rFonts w:hint="eastAsia" w:ascii="Times New Roman" w:hAnsi="Times New Roman" w:cs="Times New Roman"/>
          <w:sz w:val="24"/>
          <w:szCs w:val="24"/>
        </w:rPr>
      </w:pPr>
    </w:p>
    <w:p>
      <w:pPr>
        <w:pStyle w:val="5"/>
        <w:rPr>
          <w:rFonts w:hint="eastAsia" w:ascii="Times New Roman" w:hAnsi="Times New Roman" w:cs="Times New Roman"/>
          <w:sz w:val="24"/>
          <w:szCs w:val="24"/>
        </w:rPr>
      </w:pPr>
      <w:r>
        <w:rPr>
          <w:rFonts w:hint="eastAsia" w:ascii="Times New Roman" w:hAnsi="Times New Roman" w:cs="Times New Roman"/>
          <w:sz w:val="24"/>
          <w:szCs w:val="24"/>
        </w:rPr>
        <w:t>Breast-feeding</w:t>
      </w:r>
    </w:p>
    <w:p>
      <w:pPr>
        <w:pStyle w:val="5"/>
        <w:rPr>
          <w:rFonts w:hint="eastAsia" w:ascii="Times New Roman" w:hAnsi="Times New Roman" w:cs="Times New Roman"/>
          <w:sz w:val="24"/>
          <w:szCs w:val="24"/>
        </w:rPr>
      </w:pPr>
      <w:r>
        <w:rPr>
          <w:rFonts w:hint="eastAsia" w:ascii="Times New Roman" w:hAnsi="Times New Roman" w:cs="Times New Roman"/>
          <w:sz w:val="24"/>
          <w:szCs w:val="24"/>
        </w:rPr>
        <w:t>Loratadine is excreted in breast milk, therefore the use of loratadine is not recommended in breast-feeding women.</w:t>
      </w:r>
    </w:p>
    <w:p>
      <w:pPr>
        <w:pStyle w:val="5"/>
        <w:rPr>
          <w:rFonts w:hint="eastAsia" w:ascii="Times New Roman" w:hAnsi="Times New Roman" w:cs="Times New Roman"/>
          <w:sz w:val="24"/>
          <w:szCs w:val="24"/>
        </w:rPr>
      </w:pPr>
    </w:p>
    <w:p>
      <w:pPr>
        <w:pStyle w:val="5"/>
        <w:rPr>
          <w:rFonts w:hint="eastAsia" w:ascii="Times New Roman" w:hAnsi="Times New Roman" w:cs="Times New Roman"/>
          <w:sz w:val="24"/>
          <w:szCs w:val="24"/>
        </w:rPr>
      </w:pPr>
      <w:r>
        <w:rPr>
          <w:rFonts w:hint="eastAsia" w:ascii="Times New Roman" w:hAnsi="Times New Roman" w:cs="Times New Roman"/>
          <w:sz w:val="24"/>
          <w:szCs w:val="24"/>
        </w:rPr>
        <w:t>Fertility</w:t>
      </w:r>
    </w:p>
    <w:p>
      <w:pPr>
        <w:pStyle w:val="5"/>
        <w:rPr>
          <w:rFonts w:ascii="Times New Roman" w:hAnsi="Times New Roman" w:cs="Times New Roman"/>
          <w:sz w:val="24"/>
          <w:szCs w:val="24"/>
        </w:rPr>
      </w:pPr>
      <w:r>
        <w:rPr>
          <w:rFonts w:hint="eastAsia" w:ascii="Times New Roman" w:hAnsi="Times New Roman" w:cs="Times New Roman"/>
          <w:sz w:val="24"/>
          <w:szCs w:val="24"/>
        </w:rPr>
        <w:t>There is no data available on male and female fertility.</w:t>
      </w:r>
    </w:p>
    <w:p>
      <w:pPr>
        <w:pStyle w:val="4"/>
        <w:numPr>
          <w:ilvl w:val="1"/>
          <w:numId w:val="1"/>
        </w:numPr>
        <w:tabs>
          <w:tab w:val="left" w:pos="587"/>
        </w:tabs>
        <w:spacing w:before="200"/>
        <w:ind w:left="586" w:hanging="480"/>
        <w:rPr>
          <w:rFonts w:ascii="Times New Roman" w:hAnsi="Times New Roman" w:cs="Times New Roman"/>
          <w:sz w:val="24"/>
          <w:szCs w:val="24"/>
        </w:rPr>
      </w:pPr>
      <w:bookmarkStart w:id="7" w:name="4.7__Effects_on_ability_to_drive_and_use"/>
      <w:bookmarkEnd w:id="7"/>
      <w:r>
        <w:rPr>
          <w:rFonts w:ascii="Times New Roman" w:hAnsi="Times New Roman" w:cs="Times New Roman"/>
          <w:sz w:val="24"/>
          <w:szCs w:val="24"/>
        </w:rPr>
        <w:t>Effects on ability to drive and use</w:t>
      </w:r>
      <w:r>
        <w:rPr>
          <w:rFonts w:ascii="Times New Roman" w:hAnsi="Times New Roman" w:cs="Times New Roman"/>
          <w:spacing w:val="-4"/>
          <w:sz w:val="24"/>
          <w:szCs w:val="24"/>
        </w:rPr>
        <w:t xml:space="preserve"> </w:t>
      </w:r>
      <w:r>
        <w:rPr>
          <w:rFonts w:ascii="Times New Roman" w:hAnsi="Times New Roman" w:cs="Times New Roman"/>
          <w:sz w:val="24"/>
          <w:szCs w:val="24"/>
        </w:rPr>
        <w:t>machines</w:t>
      </w:r>
    </w:p>
    <w:p>
      <w:pPr>
        <w:pStyle w:val="5"/>
        <w:rPr>
          <w:rFonts w:ascii="Times New Roman" w:hAnsi="Times New Roman" w:cs="Times New Roman"/>
          <w:sz w:val="24"/>
          <w:szCs w:val="24"/>
        </w:rPr>
      </w:pPr>
      <w:r>
        <w:rPr>
          <w:rFonts w:hint="eastAsia" w:ascii="Times New Roman" w:hAnsi="Times New Roman" w:cs="Times New Roman"/>
          <w:sz w:val="24"/>
          <w:szCs w:val="24"/>
        </w:rPr>
        <w:t>In clinical trials that assessed driving ability, no impairment occurred in patients receiving loratadine. Loratadine tablets has no or negligible influence on the ability to drive and use machines. However, patients should be informed that very rarely some people experienced drowsiness, which may affect their ability to drive or use machines.</w:t>
      </w:r>
    </w:p>
    <w:p>
      <w:pPr>
        <w:pStyle w:val="4"/>
        <w:numPr>
          <w:ilvl w:val="1"/>
          <w:numId w:val="1"/>
        </w:numPr>
        <w:tabs>
          <w:tab w:val="left" w:pos="644"/>
          <w:tab w:val="left" w:pos="645"/>
        </w:tabs>
        <w:ind w:left="644" w:hanging="538"/>
        <w:rPr>
          <w:rFonts w:ascii="Times New Roman" w:hAnsi="Times New Roman" w:cs="Times New Roman"/>
          <w:sz w:val="24"/>
          <w:szCs w:val="24"/>
        </w:rPr>
      </w:pPr>
      <w:bookmarkStart w:id="8" w:name="4.8__Undesirable_effects"/>
      <w:bookmarkEnd w:id="8"/>
      <w:r>
        <w:rPr>
          <w:rFonts w:ascii="Times New Roman" w:hAnsi="Times New Roman" w:cs="Times New Roman"/>
          <w:sz w:val="24"/>
          <w:szCs w:val="24"/>
        </w:rPr>
        <w:t>Undesirable</w:t>
      </w:r>
      <w:r>
        <w:rPr>
          <w:rFonts w:ascii="Times New Roman" w:hAnsi="Times New Roman" w:cs="Times New Roman"/>
          <w:spacing w:val="-1"/>
          <w:sz w:val="24"/>
          <w:szCs w:val="24"/>
        </w:rPr>
        <w:t xml:space="preserve"> </w:t>
      </w:r>
      <w:r>
        <w:rPr>
          <w:rFonts w:ascii="Times New Roman" w:hAnsi="Times New Roman" w:cs="Times New Roman"/>
          <w:sz w:val="24"/>
          <w:szCs w:val="24"/>
        </w:rPr>
        <w:t>effects</w:t>
      </w:r>
    </w:p>
    <w:p>
      <w:pPr>
        <w:pStyle w:val="5"/>
        <w:rPr>
          <w:rFonts w:ascii="Times New Roman" w:hAnsi="Times New Roman" w:cs="Times New Roman"/>
          <w:bCs/>
          <w:sz w:val="24"/>
          <w:szCs w:val="24"/>
        </w:rPr>
      </w:pPr>
      <w:r>
        <w:rPr>
          <w:rFonts w:hint="default" w:ascii="Times New Roman" w:hAnsi="Times New Roman" w:cs="Times New Roman"/>
          <w:bCs/>
          <w:sz w:val="24"/>
          <w:szCs w:val="24"/>
        </w:rPr>
        <w:t>In clinical trials in a paediatric population children aged 2 through 12 years, common adverse reactions reported in excess of placebo were headache (2.7%), nervousness (2.3%), and fatigue (1%).</w:t>
      </w:r>
    </w:p>
    <w:p>
      <w:pPr>
        <w:pStyle w:val="5"/>
        <w:rPr>
          <w:rFonts w:hint="default" w:ascii="Times New Roman" w:hAnsi="Times New Roman" w:cs="Times New Roman"/>
          <w:bCs/>
          <w:sz w:val="24"/>
          <w:szCs w:val="24"/>
        </w:rPr>
      </w:pPr>
      <w:r>
        <w:rPr>
          <w:rFonts w:hint="default" w:ascii="Times New Roman" w:hAnsi="Times New Roman" w:cs="Times New Roman"/>
          <w:bCs/>
          <w:sz w:val="24"/>
          <w:szCs w:val="24"/>
        </w:rPr>
        <w:t>In clinical trials involving adults and adolescents in a range of indications including AR and CIU, at the recommended dose of 10 mg daily, adverse reactions with loratadine were reported in 2% of patients in excess of those treated with placebo. The most frequent adverse reactions reported in excess of placebo were somnolence (1.2%), headache (0.6%), increased appetite (0.5%) and insomnia (0.1%).</w:t>
      </w:r>
    </w:p>
    <w:p>
      <w:pPr>
        <w:pStyle w:val="5"/>
        <w:rPr>
          <w:rFonts w:hint="default" w:ascii="Times New Roman" w:hAnsi="Times New Roman" w:cs="Times New Roman"/>
          <w:bCs/>
          <w:sz w:val="24"/>
          <w:szCs w:val="24"/>
        </w:rPr>
      </w:pPr>
      <w:r>
        <w:rPr>
          <w:rFonts w:hint="default" w:ascii="Times New Roman" w:hAnsi="Times New Roman" w:cs="Times New Roman"/>
          <w:bCs/>
          <w:sz w:val="24"/>
          <w:szCs w:val="24"/>
        </w:rPr>
        <w:t>Tabulated list of adverse reactions</w:t>
      </w:r>
    </w:p>
    <w:p>
      <w:pPr>
        <w:pStyle w:val="5"/>
        <w:rPr>
          <w:rFonts w:hint="default" w:ascii="Times New Roman" w:hAnsi="Times New Roman" w:cs="Times New Roman"/>
          <w:bCs/>
          <w:sz w:val="24"/>
          <w:szCs w:val="24"/>
        </w:rPr>
      </w:pPr>
      <w:r>
        <w:rPr>
          <w:rFonts w:hint="default" w:ascii="Times New Roman" w:hAnsi="Times New Roman" w:cs="Times New Roman"/>
          <w:bCs/>
          <w:sz w:val="24"/>
          <w:szCs w:val="24"/>
        </w:rPr>
        <w:t>The following adverse reactions reported during the post-marketing period are listed in the following table by System Organ Class. Frequencies are defined as very common (≥ 1/10), common (≥ 1/100 to &lt; 1/10), uncommon (≥ 1/1,000 to &lt; 1/100), rare (≥ 1/10,000 to &lt; 1/1,000), very rare (&lt; 1/10,000) and not known (cannot be estimated from the available data).</w:t>
      </w:r>
    </w:p>
    <w:p>
      <w:pPr>
        <w:pStyle w:val="5"/>
        <w:rPr>
          <w:rFonts w:hint="default" w:ascii="Times New Roman" w:hAnsi="Times New Roman" w:cs="Times New Roman"/>
          <w:bCs/>
          <w:sz w:val="24"/>
          <w:szCs w:val="24"/>
        </w:rPr>
      </w:pPr>
      <w:r>
        <w:rPr>
          <w:rFonts w:hint="default" w:ascii="Times New Roman" w:hAnsi="Times New Roman" w:cs="Times New Roman"/>
          <w:bCs/>
          <w:sz w:val="24"/>
          <w:szCs w:val="24"/>
        </w:rPr>
        <w:t>Within each frequency grouping, adverse reactions are presented in order of decreasing seriousness</w:t>
      </w:r>
    </w:p>
    <w:p>
      <w:pPr>
        <w:pStyle w:val="5"/>
        <w:rPr>
          <w:rFonts w:ascii="Times New Roman" w:hAnsi="Times New Roman" w:cs="Times New Roman"/>
          <w:bCs/>
          <w:sz w:val="24"/>
          <w:szCs w:val="24"/>
        </w:rPr>
      </w:pPr>
    </w:p>
    <w:p>
      <w:pPr>
        <w:pStyle w:val="4"/>
        <w:numPr>
          <w:ilvl w:val="1"/>
          <w:numId w:val="1"/>
        </w:numPr>
        <w:tabs>
          <w:tab w:val="left" w:pos="677"/>
          <w:tab w:val="left" w:pos="679"/>
        </w:tabs>
        <w:spacing w:before="194"/>
        <w:ind w:hanging="572"/>
        <w:rPr>
          <w:rFonts w:ascii="Times New Roman" w:hAnsi="Times New Roman" w:cs="Times New Roman"/>
          <w:sz w:val="24"/>
          <w:szCs w:val="24"/>
        </w:rPr>
      </w:pPr>
      <w:r>
        <w:rPr>
          <w:rFonts w:ascii="Times New Roman" w:hAnsi="Times New Roman" w:cs="Times New Roman"/>
          <w:sz w:val="24"/>
          <w:szCs w:val="24"/>
        </w:rPr>
        <w:t>Overdose</w:t>
      </w:r>
    </w:p>
    <w:p>
      <w:pPr>
        <w:rPr>
          <w:rFonts w:hint="default" w:ascii="Times New Roman" w:hAnsi="Times New Roman" w:cs="Times New Roman"/>
          <w:sz w:val="24"/>
          <w:szCs w:val="24"/>
        </w:rPr>
      </w:pPr>
      <w:r>
        <w:rPr>
          <w:rFonts w:hint="default" w:ascii="Times New Roman" w:hAnsi="Times New Roman" w:cs="Times New Roman"/>
          <w:sz w:val="24"/>
          <w:szCs w:val="24"/>
        </w:rPr>
        <w:t>Overdosage with loratadine increased the occurrence of anticholinergic symptoms. Somnolence, tachycardia, and headache have been reported with overdoses.</w:t>
      </w:r>
    </w:p>
    <w:p>
      <w:r>
        <w:rPr>
          <w:rFonts w:hint="default" w:ascii="Times New Roman" w:hAnsi="Times New Roman" w:cs="Times New Roman"/>
          <w:sz w:val="24"/>
          <w:szCs w:val="24"/>
        </w:rPr>
        <w:t>In the event of overdose, general symptomatic and supportive measures are to be instituted and maintained for as long as necessary. Administration of activated charcoal as a slurry with water may be attempted. Gastric lavage may be considered. Loratadine is not removed by haemodialysis and it is not known if loratadine is removed by peritoneal dialysis. Medical monitoring of the patient is to be continued after emergency treatment.</w:t>
      </w:r>
    </w:p>
    <w:p>
      <w:pPr>
        <w:pStyle w:val="4"/>
        <w:numPr>
          <w:ilvl w:val="0"/>
          <w:numId w:val="1"/>
        </w:numPr>
        <w:tabs>
          <w:tab w:val="left" w:pos="836"/>
          <w:tab w:val="left" w:pos="837"/>
        </w:tabs>
        <w:spacing w:before="150"/>
        <w:ind w:left="836" w:hanging="730"/>
        <w:rPr>
          <w:rFonts w:ascii="Times New Roman" w:hAnsi="Times New Roman" w:cs="Times New Roman"/>
          <w:sz w:val="24"/>
          <w:szCs w:val="24"/>
        </w:rPr>
      </w:pPr>
      <w:bookmarkStart w:id="9" w:name="5.__PHARMACOLOGICAL_PROPERTIES"/>
      <w:bookmarkEnd w:id="9"/>
      <w:r>
        <w:rPr>
          <w:rFonts w:ascii="Times New Roman" w:hAnsi="Times New Roman" w:cs="Times New Roman"/>
          <w:sz w:val="24"/>
          <w:szCs w:val="24"/>
        </w:rPr>
        <w:t>PHARMACOLOGICAL</w:t>
      </w:r>
      <w:r>
        <w:rPr>
          <w:rFonts w:ascii="Times New Roman" w:hAnsi="Times New Roman" w:cs="Times New Roman"/>
          <w:spacing w:val="-1"/>
          <w:sz w:val="24"/>
          <w:szCs w:val="24"/>
        </w:rPr>
        <w:t xml:space="preserve"> </w:t>
      </w:r>
      <w:r>
        <w:rPr>
          <w:rFonts w:ascii="Times New Roman" w:hAnsi="Times New Roman" w:cs="Times New Roman"/>
          <w:sz w:val="24"/>
          <w:szCs w:val="24"/>
        </w:rPr>
        <w:t>PROPERTIES</w:t>
      </w:r>
    </w:p>
    <w:p>
      <w:pPr>
        <w:pStyle w:val="13"/>
        <w:numPr>
          <w:ilvl w:val="1"/>
          <w:numId w:val="1"/>
        </w:numPr>
        <w:tabs>
          <w:tab w:val="left" w:pos="841"/>
          <w:tab w:val="left" w:pos="842"/>
        </w:tabs>
        <w:spacing w:before="122" w:line="360" w:lineRule="auto"/>
        <w:ind w:left="183" w:right="4320" w:firstLine="0"/>
        <w:rPr>
          <w:rFonts w:ascii="Times New Roman" w:hAnsi="Times New Roman" w:cs="Times New Roman"/>
          <w:sz w:val="24"/>
          <w:szCs w:val="24"/>
        </w:rPr>
      </w:pPr>
      <w:r>
        <w:rPr>
          <w:rFonts w:ascii="Times New Roman" w:hAnsi="Times New Roman" w:cs="Times New Roman"/>
          <w:sz w:val="24"/>
          <w:szCs w:val="24"/>
        </w:rPr>
        <w:t xml:space="preserve">Pharmacodynamics properties </w:t>
      </w:r>
    </w:p>
    <w:p>
      <w:pPr>
        <w:pStyle w:val="13"/>
        <w:keepNext w:val="0"/>
        <w:keepLines w:val="0"/>
        <w:pageBreakBefore w:val="0"/>
        <w:widowControl w:val="0"/>
        <w:numPr>
          <w:numId w:val="0"/>
        </w:numPr>
        <w:tabs>
          <w:tab w:val="left" w:pos="841"/>
          <w:tab w:val="left" w:pos="842"/>
        </w:tabs>
        <w:kinsoku/>
        <w:wordWrap/>
        <w:overflowPunct/>
        <w:topLinePunct w:val="0"/>
        <w:autoSpaceDE w:val="0"/>
        <w:autoSpaceDN w:val="0"/>
        <w:bidi w:val="0"/>
        <w:adjustRightInd/>
        <w:snapToGrid/>
        <w:spacing w:before="0" w:line="240" w:lineRule="auto"/>
        <w:ind w:left="181" w:leftChars="0" w:right="0" w:rightChars="0"/>
        <w:textAlignment w:val="auto"/>
        <w:rPr>
          <w:rFonts w:ascii="Times New Roman" w:hAnsi="Times New Roman" w:cs="Times New Roman"/>
          <w:sz w:val="24"/>
          <w:szCs w:val="24"/>
        </w:rPr>
      </w:pPr>
      <w:r>
        <w:rPr>
          <w:rFonts w:hint="default" w:ascii="Times New Roman" w:hAnsi="Times New Roman" w:cs="Times New Roman"/>
          <w:sz w:val="24"/>
          <w:szCs w:val="24"/>
        </w:rPr>
        <w:t>Pharmacotherapeutic group: antihistamines – H1 antagonist, ATC code: R06A X13.</w:t>
      </w:r>
    </w:p>
    <w:p>
      <w:pPr>
        <w:pStyle w:val="13"/>
        <w:keepNext w:val="0"/>
        <w:keepLines w:val="0"/>
        <w:pageBreakBefore w:val="0"/>
        <w:widowControl w:val="0"/>
        <w:numPr>
          <w:numId w:val="0"/>
        </w:numPr>
        <w:tabs>
          <w:tab w:val="left" w:pos="841"/>
          <w:tab w:val="left" w:pos="842"/>
        </w:tabs>
        <w:kinsoku/>
        <w:wordWrap/>
        <w:overflowPunct/>
        <w:topLinePunct w:val="0"/>
        <w:autoSpaceDE w:val="0"/>
        <w:autoSpaceDN w:val="0"/>
        <w:bidi w:val="0"/>
        <w:adjustRightInd/>
        <w:snapToGrid/>
        <w:spacing w:before="0" w:line="240" w:lineRule="auto"/>
        <w:ind w:left="181"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Mechanism of action</w:t>
      </w:r>
    </w:p>
    <w:p>
      <w:pPr>
        <w:pStyle w:val="13"/>
        <w:keepNext w:val="0"/>
        <w:keepLines w:val="0"/>
        <w:pageBreakBefore w:val="0"/>
        <w:widowControl w:val="0"/>
        <w:numPr>
          <w:numId w:val="0"/>
        </w:numPr>
        <w:tabs>
          <w:tab w:val="left" w:pos="841"/>
          <w:tab w:val="left" w:pos="842"/>
        </w:tabs>
        <w:kinsoku/>
        <w:wordWrap/>
        <w:overflowPunct/>
        <w:topLinePunct w:val="0"/>
        <w:autoSpaceDE w:val="0"/>
        <w:autoSpaceDN w:val="0"/>
        <w:bidi w:val="0"/>
        <w:adjustRightInd/>
        <w:snapToGrid/>
        <w:spacing w:before="0" w:line="240" w:lineRule="auto"/>
        <w:ind w:left="181"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Loratadine, the active ingredient in Loratadine Tablets, is a tricyclic antihistamine with selective, peripheral H1-receptor activity.</w:t>
      </w:r>
    </w:p>
    <w:p>
      <w:pPr>
        <w:pStyle w:val="13"/>
        <w:keepNext w:val="0"/>
        <w:keepLines w:val="0"/>
        <w:pageBreakBefore w:val="0"/>
        <w:widowControl w:val="0"/>
        <w:numPr>
          <w:numId w:val="0"/>
        </w:numPr>
        <w:tabs>
          <w:tab w:val="left" w:pos="841"/>
          <w:tab w:val="left" w:pos="842"/>
        </w:tabs>
        <w:kinsoku/>
        <w:wordWrap/>
        <w:overflowPunct/>
        <w:topLinePunct w:val="0"/>
        <w:autoSpaceDE w:val="0"/>
        <w:autoSpaceDN w:val="0"/>
        <w:bidi w:val="0"/>
        <w:adjustRightInd/>
        <w:snapToGrid/>
        <w:spacing w:before="0" w:line="240" w:lineRule="auto"/>
        <w:ind w:left="181"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Pharmacodynamic effects</w:t>
      </w:r>
    </w:p>
    <w:p>
      <w:pPr>
        <w:pStyle w:val="13"/>
        <w:keepNext w:val="0"/>
        <w:keepLines w:val="0"/>
        <w:pageBreakBefore w:val="0"/>
        <w:widowControl w:val="0"/>
        <w:numPr>
          <w:numId w:val="0"/>
        </w:numPr>
        <w:tabs>
          <w:tab w:val="left" w:pos="841"/>
          <w:tab w:val="left" w:pos="842"/>
        </w:tabs>
        <w:kinsoku/>
        <w:wordWrap/>
        <w:overflowPunct/>
        <w:topLinePunct w:val="0"/>
        <w:autoSpaceDE w:val="0"/>
        <w:autoSpaceDN w:val="0"/>
        <w:bidi w:val="0"/>
        <w:adjustRightInd/>
        <w:snapToGrid/>
        <w:spacing w:before="0" w:line="240" w:lineRule="auto"/>
        <w:ind w:left="181"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Loratadine has no clinically significant sedative or anticholinergic properties in the majority of the population and when used at the recommended dosage.</w:t>
      </w:r>
    </w:p>
    <w:p>
      <w:pPr>
        <w:pStyle w:val="13"/>
        <w:keepNext w:val="0"/>
        <w:keepLines w:val="0"/>
        <w:pageBreakBefore w:val="0"/>
        <w:widowControl w:val="0"/>
        <w:numPr>
          <w:numId w:val="0"/>
        </w:numPr>
        <w:tabs>
          <w:tab w:val="left" w:pos="841"/>
          <w:tab w:val="left" w:pos="842"/>
        </w:tabs>
        <w:kinsoku/>
        <w:wordWrap/>
        <w:overflowPunct/>
        <w:topLinePunct w:val="0"/>
        <w:autoSpaceDE w:val="0"/>
        <w:autoSpaceDN w:val="0"/>
        <w:bidi w:val="0"/>
        <w:adjustRightInd/>
        <w:snapToGrid/>
        <w:spacing w:before="0" w:line="240" w:lineRule="auto"/>
        <w:ind w:left="181"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During long-term treatment there were no clinically significant changes in vital signs, laboratory test values, physical examinations or electrocardiograms.</w:t>
      </w:r>
    </w:p>
    <w:p>
      <w:pPr>
        <w:pStyle w:val="13"/>
        <w:keepNext w:val="0"/>
        <w:keepLines w:val="0"/>
        <w:pageBreakBefore w:val="0"/>
        <w:widowControl w:val="0"/>
        <w:numPr>
          <w:numId w:val="0"/>
        </w:numPr>
        <w:tabs>
          <w:tab w:val="left" w:pos="841"/>
          <w:tab w:val="left" w:pos="842"/>
        </w:tabs>
        <w:kinsoku/>
        <w:wordWrap/>
        <w:overflowPunct/>
        <w:topLinePunct w:val="0"/>
        <w:autoSpaceDE w:val="0"/>
        <w:autoSpaceDN w:val="0"/>
        <w:bidi w:val="0"/>
        <w:adjustRightInd/>
        <w:snapToGrid/>
        <w:spacing w:before="0" w:line="240" w:lineRule="auto"/>
        <w:ind w:left="181"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Loratadine has no significant H2-receptor activity. It does not inhibit norepinephrine uptake and has practically no influence on cardiovascular function or on intrinsic cardiac pacemaker activity.</w:t>
      </w:r>
    </w:p>
    <w:p>
      <w:pPr>
        <w:pStyle w:val="13"/>
        <w:keepNext w:val="0"/>
        <w:keepLines w:val="0"/>
        <w:pageBreakBefore w:val="0"/>
        <w:widowControl w:val="0"/>
        <w:numPr>
          <w:numId w:val="0"/>
        </w:numPr>
        <w:tabs>
          <w:tab w:val="left" w:pos="841"/>
          <w:tab w:val="left" w:pos="842"/>
        </w:tabs>
        <w:kinsoku/>
        <w:wordWrap/>
        <w:overflowPunct/>
        <w:topLinePunct w:val="0"/>
        <w:autoSpaceDE w:val="0"/>
        <w:autoSpaceDN w:val="0"/>
        <w:bidi w:val="0"/>
        <w:adjustRightInd/>
        <w:snapToGrid/>
        <w:spacing w:before="0" w:line="240" w:lineRule="auto"/>
        <w:ind w:left="181"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Human histamine skin wheal studies following a single 10 mg dose has shown that the antihistamine effects are seen within 1-3 hours reaching a peak at 8-12 hours and lasting in excess of 24 hours. There was no evidence of tolerance to this effect after 28 days of dosing with loratadine.</w:t>
      </w:r>
    </w:p>
    <w:p>
      <w:pPr>
        <w:pStyle w:val="13"/>
        <w:keepNext w:val="0"/>
        <w:keepLines w:val="0"/>
        <w:pageBreakBefore w:val="0"/>
        <w:widowControl w:val="0"/>
        <w:numPr>
          <w:numId w:val="0"/>
        </w:numPr>
        <w:tabs>
          <w:tab w:val="left" w:pos="841"/>
          <w:tab w:val="left" w:pos="842"/>
        </w:tabs>
        <w:kinsoku/>
        <w:wordWrap/>
        <w:overflowPunct/>
        <w:topLinePunct w:val="0"/>
        <w:autoSpaceDE w:val="0"/>
        <w:autoSpaceDN w:val="0"/>
        <w:bidi w:val="0"/>
        <w:adjustRightInd/>
        <w:snapToGrid/>
        <w:spacing w:before="0" w:line="240" w:lineRule="auto"/>
        <w:ind w:left="181"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Clinical efficacy and safety</w:t>
      </w:r>
    </w:p>
    <w:p>
      <w:pPr>
        <w:pStyle w:val="13"/>
        <w:keepNext w:val="0"/>
        <w:keepLines w:val="0"/>
        <w:pageBreakBefore w:val="0"/>
        <w:widowControl w:val="0"/>
        <w:numPr>
          <w:numId w:val="0"/>
        </w:numPr>
        <w:tabs>
          <w:tab w:val="left" w:pos="841"/>
          <w:tab w:val="left" w:pos="842"/>
        </w:tabs>
        <w:kinsoku/>
        <w:wordWrap/>
        <w:overflowPunct/>
        <w:topLinePunct w:val="0"/>
        <w:autoSpaceDE w:val="0"/>
        <w:autoSpaceDN w:val="0"/>
        <w:bidi w:val="0"/>
        <w:adjustRightInd/>
        <w:snapToGrid/>
        <w:spacing w:before="0" w:line="240" w:lineRule="auto"/>
        <w:ind w:left="181"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Over 10,000 subjects (12 years and older) have been treated with loratadine 10 mg tablets in controlled clinical trials.</w:t>
      </w:r>
    </w:p>
    <w:p>
      <w:pPr>
        <w:pStyle w:val="13"/>
        <w:keepNext w:val="0"/>
        <w:keepLines w:val="0"/>
        <w:pageBreakBefore w:val="0"/>
        <w:widowControl w:val="0"/>
        <w:numPr>
          <w:numId w:val="0"/>
        </w:numPr>
        <w:tabs>
          <w:tab w:val="left" w:pos="841"/>
          <w:tab w:val="left" w:pos="842"/>
        </w:tabs>
        <w:kinsoku/>
        <w:wordWrap/>
        <w:overflowPunct/>
        <w:topLinePunct w:val="0"/>
        <w:autoSpaceDE w:val="0"/>
        <w:autoSpaceDN w:val="0"/>
        <w:bidi w:val="0"/>
        <w:adjustRightInd/>
        <w:snapToGrid/>
        <w:spacing w:before="0" w:line="240" w:lineRule="auto"/>
        <w:ind w:left="181"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Loratadine 10 mg tablets once daily was superior to placebo and similar to clemastine in improving the effects on nasal and non-nasal symptoms of AR. In these studies somnolence occurred less frequently with loratadine than with clemastine and about the same frequency as terfenadine and placebo. Among these subjects (12 years and older), 1000 subjects with CIU were enrolled in placebo controlled studies. A once daily 10 mg dose of loratadine was superior to placebo in the management of CIU as demonstrated by the reduction of associated itching, erythema and hives. In these studies the incidence of somnolence with loratadine was similar to placebo.</w:t>
      </w:r>
    </w:p>
    <w:p>
      <w:pPr>
        <w:pStyle w:val="13"/>
        <w:keepNext w:val="0"/>
        <w:keepLines w:val="0"/>
        <w:pageBreakBefore w:val="0"/>
        <w:widowControl w:val="0"/>
        <w:numPr>
          <w:numId w:val="0"/>
        </w:numPr>
        <w:tabs>
          <w:tab w:val="left" w:pos="841"/>
          <w:tab w:val="left" w:pos="842"/>
        </w:tabs>
        <w:kinsoku/>
        <w:wordWrap/>
        <w:overflowPunct/>
        <w:topLinePunct w:val="0"/>
        <w:autoSpaceDE w:val="0"/>
        <w:autoSpaceDN w:val="0"/>
        <w:bidi w:val="0"/>
        <w:adjustRightInd/>
        <w:snapToGrid/>
        <w:spacing w:before="0" w:line="240" w:lineRule="auto"/>
        <w:ind w:left="181"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Paediatric population</w:t>
      </w:r>
    </w:p>
    <w:p>
      <w:pPr>
        <w:pStyle w:val="13"/>
        <w:keepNext w:val="0"/>
        <w:keepLines w:val="0"/>
        <w:pageBreakBefore w:val="0"/>
        <w:widowControl w:val="0"/>
        <w:numPr>
          <w:numId w:val="0"/>
        </w:numPr>
        <w:tabs>
          <w:tab w:val="left" w:pos="841"/>
          <w:tab w:val="left" w:pos="842"/>
        </w:tabs>
        <w:kinsoku/>
        <w:wordWrap/>
        <w:overflowPunct/>
        <w:topLinePunct w:val="0"/>
        <w:autoSpaceDE w:val="0"/>
        <w:autoSpaceDN w:val="0"/>
        <w:bidi w:val="0"/>
        <w:adjustRightInd/>
        <w:snapToGrid/>
        <w:spacing w:before="0" w:line="240" w:lineRule="auto"/>
        <w:ind w:left="181"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Approximately 200 paediatric subjects (6 to 12 years of age) with seasonal allergic rhinitis received doses of loratadine syrup up to 10 mg once daily in controlled clinical trials. In another study, 60 paediatric subjects (2 to 5 years of age) received 5 mg of loratadine syrup once daily. No unexpected adverse events were observed. The paediatric efficacy was similar to the efficacy observed in adults.</w:t>
      </w:r>
    </w:p>
    <w:p>
      <w:pPr>
        <w:pStyle w:val="13"/>
        <w:numPr>
          <w:numId w:val="0"/>
        </w:numPr>
        <w:tabs>
          <w:tab w:val="left" w:pos="841"/>
          <w:tab w:val="left" w:pos="842"/>
        </w:tabs>
        <w:spacing w:before="122" w:line="360" w:lineRule="auto"/>
        <w:ind w:left="183" w:leftChars="0" w:right="4320" w:rightChars="0"/>
        <w:rPr>
          <w:rFonts w:ascii="Times New Roman" w:hAnsi="Times New Roman" w:cs="Times New Roman"/>
          <w:sz w:val="24"/>
          <w:szCs w:val="24"/>
        </w:rPr>
      </w:pPr>
    </w:p>
    <w:p>
      <w:pPr>
        <w:pStyle w:val="4"/>
        <w:numPr>
          <w:ilvl w:val="1"/>
          <w:numId w:val="1"/>
        </w:numPr>
        <w:tabs>
          <w:tab w:val="left" w:pos="616"/>
        </w:tabs>
        <w:spacing w:before="201"/>
        <w:ind w:left="615" w:hanging="509"/>
        <w:rPr>
          <w:rFonts w:ascii="Times New Roman" w:hAnsi="Times New Roman" w:cs="Times New Roman"/>
          <w:sz w:val="24"/>
          <w:szCs w:val="24"/>
        </w:rPr>
      </w:pPr>
      <w:r>
        <w:rPr>
          <w:rFonts w:ascii="Times New Roman" w:hAnsi="Times New Roman" w:cs="Times New Roman"/>
          <w:sz w:val="24"/>
          <w:szCs w:val="24"/>
        </w:rPr>
        <w:t>Pharmacokinetic properties</w:t>
      </w:r>
    </w:p>
    <w:p>
      <w:pPr>
        <w:rPr>
          <w:rFonts w:hint="default" w:ascii="Times New Roman" w:hAnsi="Times New Roman" w:cs="Times New Roman"/>
          <w:sz w:val="24"/>
          <w:szCs w:val="24"/>
        </w:rPr>
      </w:pPr>
      <w:r>
        <w:rPr>
          <w:rFonts w:hint="default" w:ascii="Times New Roman" w:hAnsi="Times New Roman" w:cs="Times New Roman"/>
          <w:sz w:val="24"/>
          <w:szCs w:val="24"/>
        </w:rPr>
        <w:t>Absorption</w:t>
      </w:r>
    </w:p>
    <w:p>
      <w:pPr>
        <w:rPr>
          <w:rFonts w:hint="default" w:ascii="Times New Roman" w:hAnsi="Times New Roman" w:cs="Times New Roman"/>
          <w:sz w:val="24"/>
          <w:szCs w:val="24"/>
        </w:rPr>
      </w:pPr>
      <w:r>
        <w:rPr>
          <w:rFonts w:hint="default" w:ascii="Times New Roman" w:hAnsi="Times New Roman" w:cs="Times New Roman"/>
          <w:sz w:val="24"/>
          <w:szCs w:val="24"/>
        </w:rPr>
        <w:t>Loratadine is rapidly and well-absorbed. Concomitant ingestion of food can delay slightly the absorption of loratadine but without influencing the clinical effect. The bioavailability parameters of loratadine and of the active metabolite are dose proportional.</w:t>
      </w:r>
    </w:p>
    <w:p>
      <w:pPr>
        <w:rPr>
          <w:rFonts w:hint="default" w:ascii="Times New Roman" w:hAnsi="Times New Roman" w:cs="Times New Roman"/>
          <w:sz w:val="24"/>
          <w:szCs w:val="24"/>
        </w:rPr>
      </w:pPr>
      <w:r>
        <w:rPr>
          <w:rFonts w:hint="default" w:ascii="Times New Roman" w:hAnsi="Times New Roman" w:cs="Times New Roman"/>
          <w:sz w:val="24"/>
          <w:szCs w:val="24"/>
        </w:rPr>
        <w:t>Distribution</w:t>
      </w:r>
    </w:p>
    <w:p>
      <w:pPr>
        <w:rPr>
          <w:rFonts w:hint="default" w:ascii="Times New Roman" w:hAnsi="Times New Roman" w:cs="Times New Roman"/>
          <w:sz w:val="24"/>
          <w:szCs w:val="24"/>
        </w:rPr>
      </w:pPr>
      <w:r>
        <w:rPr>
          <w:rFonts w:hint="default" w:ascii="Times New Roman" w:hAnsi="Times New Roman" w:cs="Times New Roman"/>
          <w:sz w:val="24"/>
          <w:szCs w:val="24"/>
        </w:rPr>
        <w:t>Loratadine is highly bound (97% to 99%) and its active major metabolite desloratadine (DL) moderately bound (73% to 76%) to plasma proteins.</w:t>
      </w:r>
    </w:p>
    <w:p>
      <w:pPr>
        <w:rPr>
          <w:rFonts w:hint="default" w:ascii="Times New Roman" w:hAnsi="Times New Roman" w:cs="Times New Roman"/>
          <w:sz w:val="24"/>
          <w:szCs w:val="24"/>
        </w:rPr>
      </w:pPr>
      <w:r>
        <w:rPr>
          <w:rFonts w:hint="default" w:ascii="Times New Roman" w:hAnsi="Times New Roman" w:cs="Times New Roman"/>
          <w:sz w:val="24"/>
          <w:szCs w:val="24"/>
        </w:rPr>
        <w:t>In healthy subjects, plasma distribution half-lives of loratadine and its active metabolite are approximately 1 and 2 hours respectively.</w:t>
      </w:r>
    </w:p>
    <w:p>
      <w:pPr>
        <w:rPr>
          <w:rFonts w:hint="default" w:ascii="Times New Roman" w:hAnsi="Times New Roman" w:cs="Times New Roman"/>
          <w:sz w:val="24"/>
          <w:szCs w:val="24"/>
        </w:rPr>
      </w:pPr>
      <w:r>
        <w:rPr>
          <w:rFonts w:hint="default" w:ascii="Times New Roman" w:hAnsi="Times New Roman" w:cs="Times New Roman"/>
          <w:sz w:val="24"/>
          <w:szCs w:val="24"/>
        </w:rPr>
        <w:t>Biotransformation</w:t>
      </w:r>
    </w:p>
    <w:p>
      <w:pPr>
        <w:rPr>
          <w:rFonts w:hint="default" w:ascii="Times New Roman" w:hAnsi="Times New Roman" w:cs="Times New Roman"/>
          <w:sz w:val="24"/>
          <w:szCs w:val="24"/>
        </w:rPr>
      </w:pPr>
      <w:r>
        <w:rPr>
          <w:rFonts w:hint="default" w:ascii="Times New Roman" w:hAnsi="Times New Roman" w:cs="Times New Roman"/>
          <w:sz w:val="24"/>
          <w:szCs w:val="24"/>
        </w:rPr>
        <w:t>After oral administration, loratadine is rapidly and well absorbed and undergoes an extensive first pass metabolism, mainly by CYP3A4 and CYP2D6. The major metabolite-desloratadine (DL)- is pharmacologically active and responsible for a large part of the clinical effect. Loratadine and DL achieve maximum plasma concentrations (Tmax) between 1–1.5 hours and 1.5–3.7 hours after administration, respectively.</w:t>
      </w:r>
    </w:p>
    <w:p>
      <w:pPr>
        <w:rPr>
          <w:rFonts w:hint="default" w:ascii="Times New Roman" w:hAnsi="Times New Roman" w:cs="Times New Roman"/>
          <w:sz w:val="24"/>
          <w:szCs w:val="24"/>
        </w:rPr>
      </w:pPr>
      <w:r>
        <w:rPr>
          <w:rFonts w:hint="default" w:ascii="Times New Roman" w:hAnsi="Times New Roman" w:cs="Times New Roman"/>
          <w:sz w:val="24"/>
          <w:szCs w:val="24"/>
        </w:rPr>
        <w:t>Elimination</w:t>
      </w:r>
    </w:p>
    <w:p>
      <w:pPr>
        <w:rPr>
          <w:rFonts w:hint="default" w:ascii="Times New Roman" w:hAnsi="Times New Roman" w:cs="Times New Roman"/>
          <w:sz w:val="24"/>
          <w:szCs w:val="24"/>
        </w:rPr>
      </w:pPr>
      <w:r>
        <w:rPr>
          <w:rFonts w:hint="default" w:ascii="Times New Roman" w:hAnsi="Times New Roman" w:cs="Times New Roman"/>
          <w:sz w:val="24"/>
          <w:szCs w:val="24"/>
        </w:rPr>
        <w:t>Approximately 40% of the dose is excreted in the urine and 42% in the faeces over a 10 day period and mainly in the form of conjugated metabolites. Approximately 27% of the dose is eliminated in the urine during the first 24 hours.</w:t>
      </w:r>
    </w:p>
    <w:p>
      <w:pPr>
        <w:rPr>
          <w:rFonts w:hint="default" w:ascii="Times New Roman" w:hAnsi="Times New Roman" w:cs="Times New Roman"/>
          <w:sz w:val="24"/>
          <w:szCs w:val="24"/>
        </w:rPr>
      </w:pPr>
      <w:r>
        <w:rPr>
          <w:rFonts w:hint="default" w:ascii="Times New Roman" w:hAnsi="Times New Roman" w:cs="Times New Roman"/>
          <w:sz w:val="24"/>
          <w:szCs w:val="24"/>
        </w:rPr>
        <w:t>Less than 1% of the active substance is excreted unchanged in the active form, as loratadine or DL.</w:t>
      </w:r>
    </w:p>
    <w:p>
      <w:pPr>
        <w:rPr>
          <w:rFonts w:hint="default" w:ascii="Times New Roman" w:hAnsi="Times New Roman" w:cs="Times New Roman"/>
          <w:sz w:val="24"/>
          <w:szCs w:val="24"/>
        </w:rPr>
      </w:pPr>
      <w:r>
        <w:rPr>
          <w:rFonts w:hint="default" w:ascii="Times New Roman" w:hAnsi="Times New Roman" w:cs="Times New Roman"/>
          <w:sz w:val="24"/>
          <w:szCs w:val="24"/>
        </w:rPr>
        <w:t>The mean elimination half-lives in healthy adult subjects were 8.4 hours (range = 3 to 20 hours) for loratadine and 28 hours (range = 8.8 to 92 hours) for the major active metabolite.</w:t>
      </w:r>
    </w:p>
    <w:p>
      <w:pPr>
        <w:rPr>
          <w:rFonts w:hint="default" w:ascii="Times New Roman" w:hAnsi="Times New Roman" w:cs="Times New Roman"/>
          <w:sz w:val="24"/>
          <w:szCs w:val="24"/>
        </w:rPr>
      </w:pPr>
      <w:r>
        <w:rPr>
          <w:rFonts w:hint="default" w:ascii="Times New Roman" w:hAnsi="Times New Roman" w:cs="Times New Roman"/>
          <w:sz w:val="24"/>
          <w:szCs w:val="24"/>
        </w:rPr>
        <w:t>Renal impairment</w:t>
      </w:r>
    </w:p>
    <w:p>
      <w:pPr>
        <w:rPr>
          <w:rFonts w:hint="default" w:ascii="Times New Roman" w:hAnsi="Times New Roman" w:cs="Times New Roman"/>
          <w:sz w:val="24"/>
          <w:szCs w:val="24"/>
        </w:rPr>
      </w:pPr>
      <w:r>
        <w:rPr>
          <w:rFonts w:hint="default" w:ascii="Times New Roman" w:hAnsi="Times New Roman" w:cs="Times New Roman"/>
          <w:sz w:val="24"/>
          <w:szCs w:val="24"/>
        </w:rPr>
        <w:t>In patients with chronic renal impairment, both the AUC and peak plasma levels (Cmax) increased for loratadine and its active metabolite as compared to the AUCs and peak plasma levels (Cmax) of patients with normal renal function. The mean elimination half-lives of loratadine and its active metabolite were not significantly different from that observed in normal subjects. Haemodialysis does not have an effect on the pharmacokinetics of loratadine or its active metabolite in subjects with chronic renal impairment.</w:t>
      </w:r>
    </w:p>
    <w:p>
      <w:pPr>
        <w:rPr>
          <w:rFonts w:hint="default" w:ascii="Times New Roman" w:hAnsi="Times New Roman" w:cs="Times New Roman"/>
          <w:sz w:val="24"/>
          <w:szCs w:val="24"/>
        </w:rPr>
      </w:pPr>
      <w:r>
        <w:rPr>
          <w:rFonts w:hint="default" w:ascii="Times New Roman" w:hAnsi="Times New Roman" w:cs="Times New Roman"/>
          <w:sz w:val="24"/>
          <w:szCs w:val="24"/>
        </w:rPr>
        <w:t>Hepatic impairment</w:t>
      </w:r>
    </w:p>
    <w:p>
      <w:pPr>
        <w:rPr>
          <w:rFonts w:hint="default" w:ascii="Times New Roman" w:hAnsi="Times New Roman" w:cs="Times New Roman"/>
          <w:sz w:val="24"/>
          <w:szCs w:val="24"/>
        </w:rPr>
      </w:pPr>
      <w:r>
        <w:rPr>
          <w:rFonts w:hint="default" w:ascii="Times New Roman" w:hAnsi="Times New Roman" w:cs="Times New Roman"/>
          <w:sz w:val="24"/>
          <w:szCs w:val="24"/>
        </w:rPr>
        <w:t>In patients with chronic alcoholic liver disease, the AUC and peak plasma levels (Cmax) of loratadine were double while the pharmacokinetic profile of the active metabolite was not significantly changed from that in patients with normal liver function. The elimination half-lives for loratadine and its metabolite were 24 hours and 37 hours, respectively, and increased with increasing severity of liver disease.</w:t>
      </w:r>
    </w:p>
    <w:p>
      <w:pPr>
        <w:rPr>
          <w:rFonts w:hint="default" w:ascii="Times New Roman" w:hAnsi="Times New Roman" w:cs="Times New Roman"/>
          <w:sz w:val="24"/>
          <w:szCs w:val="24"/>
        </w:rPr>
      </w:pPr>
      <w:r>
        <w:rPr>
          <w:rFonts w:hint="default" w:ascii="Times New Roman" w:hAnsi="Times New Roman" w:cs="Times New Roman"/>
          <w:sz w:val="24"/>
          <w:szCs w:val="24"/>
        </w:rPr>
        <w:t>Elderly</w:t>
      </w:r>
    </w:p>
    <w:p>
      <w:pPr>
        <w:rPr>
          <w:rFonts w:hint="default" w:ascii="Times New Roman" w:hAnsi="Times New Roman" w:cs="Times New Roman"/>
          <w:sz w:val="24"/>
          <w:szCs w:val="24"/>
        </w:rPr>
      </w:pPr>
      <w:r>
        <w:rPr>
          <w:rFonts w:hint="default" w:ascii="Times New Roman" w:hAnsi="Times New Roman" w:cs="Times New Roman"/>
          <w:sz w:val="24"/>
          <w:szCs w:val="24"/>
        </w:rPr>
        <w:t>The pharmacokinetic profile of loratadine and its active metabolite is comparable in healthy adult volunteers and in healthy geriatric volunteers.</w:t>
      </w:r>
    </w:p>
    <w:p/>
    <w:p>
      <w:pPr>
        <w:pStyle w:val="4"/>
        <w:numPr>
          <w:ilvl w:val="1"/>
          <w:numId w:val="1"/>
        </w:numPr>
        <w:tabs>
          <w:tab w:val="left" w:pos="625"/>
          <w:tab w:val="left" w:pos="626"/>
        </w:tabs>
        <w:spacing w:before="99"/>
        <w:ind w:left="625" w:hanging="519"/>
        <w:rPr>
          <w:rFonts w:ascii="Times New Roman" w:hAnsi="Times New Roman" w:cs="Times New Roman"/>
          <w:sz w:val="24"/>
          <w:szCs w:val="24"/>
        </w:rPr>
      </w:pPr>
      <w:bookmarkStart w:id="10" w:name="5.3__Preclinical_safety_data"/>
      <w:bookmarkEnd w:id="10"/>
      <w:r>
        <w:rPr>
          <w:rFonts w:ascii="Times New Roman" w:hAnsi="Times New Roman" w:cs="Times New Roman"/>
          <w:sz w:val="24"/>
          <w:szCs w:val="24"/>
        </w:rPr>
        <w:t>Preclinical safety data</w:t>
      </w:r>
    </w:p>
    <w:p>
      <w:pPr>
        <w:pStyle w:val="5"/>
        <w:ind w:left="119" w:right="284" w:hanging="11"/>
        <w:jc w:val="both"/>
        <w:rPr>
          <w:rFonts w:ascii="Times New Roman" w:hAnsi="Times New Roman" w:cs="Times New Roman"/>
          <w:sz w:val="24"/>
          <w:szCs w:val="24"/>
        </w:rPr>
      </w:pPr>
      <w:r>
        <w:rPr>
          <w:rFonts w:hint="default" w:ascii="Times New Roman" w:hAnsi="Times New Roman" w:cs="Times New Roman"/>
          <w:sz w:val="24"/>
          <w:szCs w:val="24"/>
        </w:rPr>
        <w:t>Non-Clinical data reveal no special hazard for humans based on conventional studies of safety, pharmacology, repeated dose toxicity, genotoxicity and carcinogenic potential.</w:t>
      </w:r>
    </w:p>
    <w:p>
      <w:pPr>
        <w:pStyle w:val="5"/>
        <w:ind w:left="119" w:right="284" w:hanging="11"/>
        <w:jc w:val="both"/>
        <w:rPr>
          <w:rFonts w:ascii="Times New Roman" w:hAnsi="Times New Roman" w:cs="Times New Roman"/>
          <w:sz w:val="24"/>
          <w:szCs w:val="24"/>
        </w:rPr>
      </w:pPr>
      <w:r>
        <w:rPr>
          <w:rFonts w:hint="default" w:ascii="Times New Roman" w:hAnsi="Times New Roman" w:cs="Times New Roman"/>
          <w:sz w:val="24"/>
          <w:szCs w:val="24"/>
        </w:rPr>
        <w:t>In reproductive toxicity studies, no teratogenic effects were observed. However, prolonged parturition and reduced viability of offspring were observed in rats at plasma levels (AUC) 10 times higher than those achieved with clinical doses.</w:t>
      </w:r>
    </w:p>
    <w:p>
      <w:pPr>
        <w:pStyle w:val="5"/>
        <w:ind w:left="119" w:right="284" w:hanging="11"/>
        <w:jc w:val="both"/>
        <w:rPr>
          <w:rFonts w:ascii="Times New Roman" w:hAnsi="Times New Roman" w:cs="Times New Roman"/>
          <w:sz w:val="24"/>
          <w:szCs w:val="24"/>
        </w:rPr>
      </w:pPr>
    </w:p>
    <w:p>
      <w:pPr>
        <w:pStyle w:val="4"/>
        <w:numPr>
          <w:ilvl w:val="0"/>
          <w:numId w:val="1"/>
        </w:numPr>
        <w:tabs>
          <w:tab w:val="left" w:pos="834"/>
        </w:tabs>
        <w:spacing w:before="0"/>
        <w:ind w:left="834" w:hanging="728"/>
        <w:jc w:val="both"/>
        <w:rPr>
          <w:rFonts w:ascii="Times New Roman" w:hAnsi="Times New Roman" w:cs="Times New Roman"/>
          <w:sz w:val="24"/>
          <w:szCs w:val="24"/>
        </w:rPr>
      </w:pPr>
      <w:bookmarkStart w:id="11" w:name="6.__PHARMACEUTICAL_PARTICULARS"/>
      <w:bookmarkEnd w:id="11"/>
      <w:r>
        <w:rPr>
          <w:rFonts w:ascii="Times New Roman" w:hAnsi="Times New Roman" w:cs="Times New Roman"/>
          <w:sz w:val="24"/>
          <w:szCs w:val="24"/>
        </w:rPr>
        <w:t>PHARMACEUTICAL</w:t>
      </w:r>
      <w:r>
        <w:rPr>
          <w:rFonts w:ascii="Times New Roman" w:hAnsi="Times New Roman" w:cs="Times New Roman"/>
          <w:spacing w:val="-1"/>
          <w:sz w:val="24"/>
          <w:szCs w:val="24"/>
        </w:rPr>
        <w:t xml:space="preserve"> </w:t>
      </w:r>
      <w:r>
        <w:rPr>
          <w:rFonts w:ascii="Times New Roman" w:hAnsi="Times New Roman" w:cs="Times New Roman"/>
          <w:sz w:val="24"/>
          <w:szCs w:val="24"/>
        </w:rPr>
        <w:t>PARTICULARS</w:t>
      </w:r>
    </w:p>
    <w:p>
      <w:pPr>
        <w:pStyle w:val="13"/>
        <w:numPr>
          <w:ilvl w:val="1"/>
          <w:numId w:val="1"/>
        </w:numPr>
        <w:tabs>
          <w:tab w:val="left" w:pos="652"/>
        </w:tabs>
        <w:ind w:hanging="572"/>
        <w:jc w:val="both"/>
        <w:rPr>
          <w:rFonts w:ascii="Times New Roman" w:hAnsi="Times New Roman" w:cs="Times New Roman"/>
          <w:b/>
          <w:sz w:val="24"/>
          <w:szCs w:val="24"/>
        </w:rPr>
      </w:pPr>
      <w:r>
        <w:rPr>
          <w:rFonts w:ascii="Times New Roman" w:hAnsi="Times New Roman" w:cs="Times New Roman"/>
          <w:b/>
          <w:sz w:val="24"/>
          <w:szCs w:val="24"/>
        </w:rPr>
        <w:t>List of</w:t>
      </w:r>
      <w:r>
        <w:rPr>
          <w:rFonts w:ascii="Times New Roman" w:hAnsi="Times New Roman" w:cs="Times New Roman"/>
          <w:b/>
          <w:spacing w:val="-2"/>
          <w:sz w:val="24"/>
          <w:szCs w:val="24"/>
        </w:rPr>
        <w:t xml:space="preserve"> </w:t>
      </w:r>
      <w:r>
        <w:rPr>
          <w:rFonts w:ascii="Times New Roman" w:hAnsi="Times New Roman" w:cs="Times New Roman"/>
          <w:b/>
          <w:sz w:val="24"/>
          <w:szCs w:val="24"/>
        </w:rPr>
        <w:t>excipients</w:t>
      </w:r>
    </w:p>
    <w:p>
      <w:pPr>
        <w:ind w:left="119" w:right="3221"/>
        <w:rPr>
          <w:rFonts w:ascii="Times New Roman" w:hAnsi="Times New Roman" w:cs="Times New Roman"/>
          <w:sz w:val="24"/>
          <w:szCs w:val="24"/>
        </w:rPr>
      </w:pPr>
      <w:r>
        <w:rPr>
          <w:rFonts w:hint="eastAsia" w:ascii="Times New Roman" w:hAnsi="Times New Roman" w:cs="Times New Roman"/>
          <w:sz w:val="24"/>
          <w:szCs w:val="24"/>
        </w:rPr>
        <w:t xml:space="preserve">Starch,  </w:t>
      </w:r>
      <w:r>
        <w:rPr>
          <w:rFonts w:ascii="Times New Roman" w:hAnsi="Times New Roman" w:cs="Times New Roman"/>
          <w:sz w:val="24"/>
          <w:szCs w:val="24"/>
        </w:rPr>
        <w:t>Microcrystalline Cellulose</w:t>
      </w:r>
      <w:r>
        <w:rPr>
          <w:rFonts w:hint="eastAsia" w:ascii="Times New Roman" w:hAnsi="Times New Roman" w:cs="Times New Roman"/>
          <w:sz w:val="24"/>
          <w:szCs w:val="24"/>
        </w:rPr>
        <w:t xml:space="preserve">, </w:t>
      </w:r>
      <w:r>
        <w:rPr>
          <w:rFonts w:ascii="Times New Roman" w:hAnsi="Times New Roman" w:cs="Times New Roman"/>
          <w:sz w:val="24"/>
          <w:szCs w:val="24"/>
        </w:rPr>
        <w:t>Sodium Starch Glycolate</w:t>
      </w:r>
    </w:p>
    <w:p>
      <w:pPr>
        <w:ind w:left="119" w:right="3221"/>
        <w:rPr>
          <w:rFonts w:ascii="Times New Roman" w:hAnsi="Times New Roman" w:cs="Times New Roman"/>
          <w:sz w:val="24"/>
          <w:szCs w:val="24"/>
        </w:rPr>
      </w:pPr>
    </w:p>
    <w:p>
      <w:pPr>
        <w:pStyle w:val="4"/>
        <w:numPr>
          <w:ilvl w:val="1"/>
          <w:numId w:val="1"/>
        </w:numPr>
        <w:tabs>
          <w:tab w:val="left" w:pos="623"/>
        </w:tabs>
        <w:spacing w:before="99"/>
        <w:ind w:left="622" w:hanging="516"/>
        <w:rPr>
          <w:rFonts w:ascii="Times New Roman" w:hAnsi="Times New Roman" w:cs="Times New Roman"/>
          <w:sz w:val="24"/>
          <w:szCs w:val="24"/>
        </w:rPr>
      </w:pPr>
      <w:bookmarkStart w:id="12" w:name="6.2__Incompatibilities"/>
      <w:bookmarkEnd w:id="12"/>
      <w:r>
        <w:rPr>
          <w:rFonts w:ascii="Times New Roman" w:hAnsi="Times New Roman" w:cs="Times New Roman"/>
          <w:sz w:val="24"/>
          <w:szCs w:val="24"/>
        </w:rPr>
        <w:t>Incompatibilities</w:t>
      </w:r>
    </w:p>
    <w:p>
      <w:pPr>
        <w:pStyle w:val="5"/>
        <w:ind w:left="108"/>
        <w:rPr>
          <w:rFonts w:ascii="Times New Roman" w:hAnsi="Times New Roman" w:cs="Times New Roman"/>
          <w:sz w:val="24"/>
          <w:szCs w:val="24"/>
        </w:rPr>
      </w:pPr>
      <w:r>
        <w:rPr>
          <w:rFonts w:ascii="Times New Roman" w:hAnsi="Times New Roman" w:cs="Times New Roman"/>
          <w:sz w:val="24"/>
          <w:szCs w:val="24"/>
        </w:rPr>
        <w:t>Not applicable.</w:t>
      </w:r>
    </w:p>
    <w:p>
      <w:pPr>
        <w:pStyle w:val="5"/>
        <w:spacing w:before="1"/>
        <w:rPr>
          <w:rFonts w:ascii="Times New Roman" w:hAnsi="Times New Roman" w:cs="Times New Roman"/>
          <w:sz w:val="24"/>
          <w:szCs w:val="24"/>
        </w:rPr>
      </w:pPr>
    </w:p>
    <w:p>
      <w:pPr>
        <w:pStyle w:val="4"/>
        <w:numPr>
          <w:ilvl w:val="1"/>
          <w:numId w:val="1"/>
        </w:numPr>
        <w:tabs>
          <w:tab w:val="left" w:pos="661"/>
          <w:tab w:val="left" w:pos="662"/>
        </w:tabs>
        <w:spacing w:before="0"/>
        <w:ind w:left="661" w:hanging="555"/>
        <w:rPr>
          <w:rFonts w:ascii="Times New Roman" w:hAnsi="Times New Roman" w:cs="Times New Roman"/>
          <w:sz w:val="24"/>
          <w:szCs w:val="24"/>
        </w:rPr>
      </w:pPr>
      <w:r>
        <w:rPr>
          <w:rFonts w:ascii="Times New Roman" w:hAnsi="Times New Roman" w:cs="Times New Roman"/>
          <w:sz w:val="24"/>
          <w:szCs w:val="24"/>
        </w:rPr>
        <w:t>Shelf</w:t>
      </w:r>
      <w:r>
        <w:rPr>
          <w:rFonts w:ascii="Times New Roman" w:hAnsi="Times New Roman" w:cs="Times New Roman"/>
          <w:spacing w:val="-2"/>
          <w:sz w:val="24"/>
          <w:szCs w:val="24"/>
        </w:rPr>
        <w:t xml:space="preserve"> </w:t>
      </w:r>
      <w:r>
        <w:rPr>
          <w:rFonts w:ascii="Times New Roman" w:hAnsi="Times New Roman" w:cs="Times New Roman"/>
          <w:sz w:val="24"/>
          <w:szCs w:val="24"/>
        </w:rPr>
        <w:t>life</w:t>
      </w:r>
    </w:p>
    <w:p>
      <w:pPr>
        <w:pStyle w:val="5"/>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eastAsia="zh-CN"/>
        </w:rPr>
        <w:t>3 years</w:t>
      </w:r>
    </w:p>
    <w:p>
      <w:pPr>
        <w:pStyle w:val="4"/>
        <w:numPr>
          <w:ilvl w:val="1"/>
          <w:numId w:val="1"/>
        </w:numPr>
        <w:tabs>
          <w:tab w:val="left" w:pos="619"/>
        </w:tabs>
        <w:ind w:left="618" w:hanging="512"/>
        <w:rPr>
          <w:rFonts w:ascii="Times New Roman" w:hAnsi="Times New Roman" w:cs="Times New Roman"/>
          <w:sz w:val="24"/>
          <w:szCs w:val="24"/>
        </w:rPr>
      </w:pPr>
      <w:bookmarkStart w:id="13" w:name="6.4__Special_precautions_for_storage"/>
      <w:bookmarkEnd w:id="13"/>
      <w:r>
        <w:rPr>
          <w:rFonts w:ascii="Times New Roman" w:hAnsi="Times New Roman" w:cs="Times New Roman"/>
          <w:sz w:val="24"/>
          <w:szCs w:val="24"/>
        </w:rPr>
        <w:t>Special precautions for</w:t>
      </w:r>
      <w:r>
        <w:rPr>
          <w:rFonts w:ascii="Times New Roman" w:hAnsi="Times New Roman" w:cs="Times New Roman"/>
          <w:spacing w:val="-1"/>
          <w:sz w:val="24"/>
          <w:szCs w:val="24"/>
        </w:rPr>
        <w:t xml:space="preserve"> </w:t>
      </w:r>
      <w:r>
        <w:rPr>
          <w:rFonts w:ascii="Times New Roman" w:hAnsi="Times New Roman" w:cs="Times New Roman"/>
          <w:sz w:val="24"/>
          <w:szCs w:val="24"/>
        </w:rPr>
        <w:t>storage</w:t>
      </w:r>
    </w:p>
    <w:p>
      <w:pPr>
        <w:pStyle w:val="5"/>
        <w:spacing w:before="1"/>
        <w:ind w:left="106"/>
        <w:rPr>
          <w:rFonts w:ascii="Times New Roman" w:hAnsi="Times New Roman" w:cs="Times New Roman"/>
          <w:sz w:val="24"/>
          <w:szCs w:val="24"/>
        </w:rPr>
      </w:pPr>
      <w:r>
        <w:rPr>
          <w:rFonts w:ascii="Times New Roman" w:hAnsi="Times New Roman" w:cs="Times New Roman"/>
          <w:sz w:val="24"/>
          <w:szCs w:val="24"/>
        </w:rPr>
        <w:t>Store in a cool dry place below 30°C and protect from light.</w:t>
      </w:r>
    </w:p>
    <w:p>
      <w:pPr>
        <w:pStyle w:val="5"/>
        <w:spacing w:before="1"/>
        <w:ind w:left="106"/>
        <w:rPr>
          <w:rFonts w:ascii="Times New Roman" w:hAnsi="Times New Roman" w:cs="Times New Roman"/>
          <w:sz w:val="24"/>
          <w:szCs w:val="24"/>
        </w:rPr>
      </w:pPr>
      <w:r>
        <w:rPr>
          <w:rFonts w:ascii="Times New Roman" w:hAnsi="Times New Roman" w:cs="Times New Roman"/>
          <w:sz w:val="24"/>
          <w:szCs w:val="24"/>
        </w:rPr>
        <w:t>KEEP MEDICINES OUT OF REACH OF CHILDREN</w:t>
      </w:r>
    </w:p>
    <w:p>
      <w:pPr>
        <w:pStyle w:val="4"/>
        <w:numPr>
          <w:ilvl w:val="1"/>
          <w:numId w:val="1"/>
        </w:numPr>
        <w:tabs>
          <w:tab w:val="left" w:pos="677"/>
          <w:tab w:val="left" w:pos="679"/>
        </w:tabs>
        <w:spacing w:before="146" w:line="362" w:lineRule="auto"/>
        <w:ind w:right="128" w:hanging="572"/>
        <w:rPr>
          <w:rFonts w:ascii="Times New Roman" w:hAnsi="Times New Roman" w:cs="Times New Roman"/>
          <w:sz w:val="24"/>
          <w:szCs w:val="24"/>
        </w:rPr>
      </w:pPr>
      <w:r>
        <w:rPr>
          <w:rFonts w:ascii="Times New Roman" w:hAnsi="Times New Roman" w:cs="Times New Roman"/>
          <w:sz w:val="24"/>
          <w:szCs w:val="24"/>
        </w:rPr>
        <w:t xml:space="preserve">Nature and contents of container </w:t>
      </w:r>
    </w:p>
    <w:p>
      <w:pPr>
        <w:pStyle w:val="5"/>
        <w:ind w:firstLine="240" w:firstLineChars="100"/>
        <w:rPr>
          <w:rFonts w:ascii="Times New Roman" w:hAnsi="Times New Roman" w:cs="Times New Roman"/>
          <w:iCs/>
          <w:sz w:val="24"/>
          <w:szCs w:val="24"/>
        </w:rPr>
      </w:pPr>
      <w:r>
        <w:rPr>
          <w:rFonts w:ascii="Times New Roman" w:hAnsi="Times New Roman" w:cs="Times New Roman"/>
          <w:iCs/>
          <w:sz w:val="24"/>
          <w:szCs w:val="24"/>
        </w:rPr>
        <w:t>Primary package is aluminum foil/PVC panel</w:t>
      </w:r>
    </w:p>
    <w:p>
      <w:pPr>
        <w:pStyle w:val="5"/>
        <w:spacing w:before="146"/>
        <w:ind w:firstLine="240" w:firstLineChars="100"/>
        <w:rPr>
          <w:rFonts w:ascii="Times New Roman" w:hAnsi="Times New Roman" w:cs="Times New Roman"/>
          <w:iCs/>
          <w:sz w:val="24"/>
          <w:szCs w:val="24"/>
        </w:rPr>
      </w:pPr>
      <w:r>
        <w:rPr>
          <w:rFonts w:hint="eastAsia" w:ascii="Times New Roman" w:hAnsi="Times New Roman" w:eastAsia="宋体" w:cs="Times New Roman"/>
          <w:iCs/>
          <w:sz w:val="24"/>
          <w:szCs w:val="24"/>
          <w:lang w:val="en-US" w:eastAsia="zh-CN"/>
        </w:rPr>
        <w:t>10</w:t>
      </w:r>
      <w:r>
        <w:rPr>
          <w:rFonts w:ascii="Times New Roman" w:hAnsi="Times New Roman" w:cs="Times New Roman"/>
          <w:iCs/>
          <w:sz w:val="24"/>
          <w:szCs w:val="24"/>
        </w:rPr>
        <w:t>0 tablets per box</w:t>
      </w:r>
    </w:p>
    <w:p>
      <w:pPr>
        <w:pStyle w:val="4"/>
        <w:numPr>
          <w:ilvl w:val="1"/>
          <w:numId w:val="1"/>
        </w:numPr>
        <w:tabs>
          <w:tab w:val="left" w:pos="535"/>
        </w:tabs>
        <w:spacing w:before="201"/>
        <w:ind w:left="534" w:hanging="428"/>
        <w:rPr>
          <w:rFonts w:ascii="Times New Roman" w:hAnsi="Times New Roman" w:cs="Times New Roman"/>
          <w:sz w:val="24"/>
          <w:szCs w:val="24"/>
        </w:rPr>
      </w:pPr>
      <w:bookmarkStart w:id="14" w:name="6.6__Special_precautions_for_disposal_&lt;a"/>
      <w:bookmarkEnd w:id="14"/>
      <w:r>
        <w:rPr>
          <w:rFonts w:ascii="Times New Roman" w:hAnsi="Times New Roman" w:cs="Times New Roman"/>
          <w:sz w:val="24"/>
          <w:szCs w:val="24"/>
        </w:rPr>
        <w:t>Special precautions for disposal</w:t>
      </w:r>
    </w:p>
    <w:p>
      <w:pPr>
        <w:pStyle w:val="5"/>
        <w:spacing w:before="198"/>
        <w:ind w:left="106"/>
        <w:rPr>
          <w:rFonts w:ascii="Times New Roman" w:hAnsi="Times New Roman" w:cs="Times New Roman"/>
          <w:sz w:val="24"/>
          <w:szCs w:val="24"/>
        </w:rPr>
      </w:pPr>
      <w:r>
        <w:rPr>
          <w:rFonts w:ascii="Times New Roman" w:hAnsi="Times New Roman" w:cs="Times New Roman"/>
          <w:sz w:val="24"/>
          <w:szCs w:val="24"/>
        </w:rPr>
        <w:t>Any unused product or waste material should be disposed of in accordance with local requirements.</w:t>
      </w:r>
      <w:bookmarkStart w:id="15" w:name="7.__&lt;APPLICANT/MANUFACTURER&gt;"/>
      <w:bookmarkEnd w:id="15"/>
      <w:r>
        <w:rPr>
          <w:rFonts w:ascii="Times New Roman" w:hAnsi="Times New Roman" w:cs="Times New Roman"/>
          <w:sz w:val="24"/>
          <w:szCs w:val="24"/>
        </w:rPr>
        <w:t xml:space="preserve"> </w:t>
      </w:r>
    </w:p>
    <w:p>
      <w:pPr>
        <w:pStyle w:val="5"/>
        <w:spacing w:before="198"/>
        <w:ind w:left="106"/>
        <w:rPr>
          <w:rFonts w:ascii="Times New Roman" w:hAnsi="Times New Roman" w:cs="Times New Roman"/>
          <w:b/>
          <w:bCs/>
          <w:sz w:val="24"/>
          <w:szCs w:val="24"/>
        </w:rPr>
      </w:pPr>
      <w:r>
        <w:rPr>
          <w:rFonts w:ascii="Times New Roman" w:hAnsi="Times New Roman" w:cs="Times New Roman"/>
          <w:b/>
          <w:bCs/>
          <w:sz w:val="24"/>
          <w:szCs w:val="24"/>
        </w:rPr>
        <w:t>7. APPLICANT/MANUFACTURER</w:t>
      </w:r>
    </w:p>
    <w:p>
      <w:pPr>
        <w:pStyle w:val="5"/>
        <w:spacing w:before="193"/>
        <w:ind w:left="106"/>
        <w:rPr>
          <w:rFonts w:ascii="Times New Roman" w:hAnsi="Times New Roman" w:cs="Times New Roman" w:eastAsiaTheme="minorEastAsia"/>
          <w:sz w:val="24"/>
          <w:szCs w:val="24"/>
          <w:lang w:val="en-GB" w:eastAsia="zh-CN"/>
        </w:rPr>
      </w:pPr>
      <w:r>
        <w:rPr>
          <w:rFonts w:ascii="Times New Roman" w:hAnsi="Times New Roman" w:cs="Times New Roman" w:eastAsiaTheme="minorEastAsia"/>
          <w:sz w:val="24"/>
          <w:szCs w:val="24"/>
          <w:lang w:eastAsia="zh-CN"/>
        </w:rPr>
        <w:t xml:space="preserve">Name: </w:t>
      </w:r>
      <w:r>
        <w:rPr>
          <w:rFonts w:ascii="Times New Roman" w:hAnsi="Times New Roman" w:cs="Times New Roman" w:eastAsiaTheme="minorEastAsia"/>
          <w:sz w:val="24"/>
          <w:szCs w:val="24"/>
          <w:lang w:val="en-GB" w:eastAsia="zh-CN"/>
        </w:rPr>
        <w:t>Jiangsu Ruinian Qianjin Pharmaceutical Co., Ltd.</w:t>
      </w:r>
    </w:p>
    <w:p>
      <w:pPr>
        <w:pStyle w:val="5"/>
        <w:spacing w:before="193"/>
        <w:ind w:left="106"/>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val="en-GB" w:eastAsia="zh-CN"/>
        </w:rPr>
        <w:t>Address: Chuanbu Village, Dingshu Town, Yixing City, Jiangsu Province, China</w:t>
      </w:r>
    </w:p>
    <w:p>
      <w:pPr>
        <w:pStyle w:val="5"/>
        <w:spacing w:before="126"/>
        <w:ind w:left="106"/>
        <w:rPr>
          <w:rFonts w:ascii="Times New Roman" w:hAnsi="Times New Roman" w:cs="Times New Roman"/>
          <w:sz w:val="24"/>
          <w:szCs w:val="24"/>
        </w:rPr>
      </w:pPr>
      <w:r>
        <w:rPr>
          <w:rFonts w:ascii="Times New Roman" w:hAnsi="Times New Roman" w:cs="Times New Roman"/>
          <w:sz w:val="24"/>
          <w:szCs w:val="24"/>
        </w:rPr>
        <w:t xml:space="preserve">Tel: </w:t>
      </w:r>
      <w:r>
        <w:rPr>
          <w:rFonts w:ascii="Times New Roman" w:hAnsi="Times New Roman" w:cs="Times New Roman"/>
          <w:sz w:val="24"/>
          <w:szCs w:val="24"/>
          <w:lang w:val="en-GB"/>
        </w:rPr>
        <w:t>+86-0510-7155090</w:t>
      </w:r>
    </w:p>
    <w:p>
      <w:pPr>
        <w:pStyle w:val="5"/>
        <w:spacing w:before="126"/>
        <w:ind w:left="106"/>
        <w:rPr>
          <w:rFonts w:ascii="Times New Roman" w:hAnsi="Times New Roman" w:cs="Times New Roman"/>
          <w:sz w:val="24"/>
          <w:szCs w:val="24"/>
        </w:rPr>
      </w:pPr>
      <w:r>
        <w:rPr>
          <w:rFonts w:ascii="Times New Roman" w:hAnsi="Times New Roman" w:cs="Times New Roman"/>
          <w:sz w:val="24"/>
          <w:szCs w:val="24"/>
        </w:rPr>
        <w:t xml:space="preserve">Fax: </w:t>
      </w:r>
      <w:r>
        <w:rPr>
          <w:rFonts w:ascii="Times New Roman" w:hAnsi="Times New Roman" w:cs="Times New Roman"/>
          <w:sz w:val="24"/>
          <w:szCs w:val="24"/>
          <w:lang w:val="en-GB"/>
        </w:rPr>
        <w:t>+86-0510-7155086</w:t>
      </w:r>
    </w:p>
    <w:p>
      <w:pPr>
        <w:pStyle w:val="5"/>
        <w:spacing w:before="126"/>
        <w:ind w:left="106"/>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lang w:val="en-GB"/>
        </w:rPr>
        <w:t>wuzhijuan@hotmail.com</w:t>
      </w:r>
    </w:p>
    <w:sectPr>
      <w:footerReference r:id="rId4" w:type="default"/>
      <w:pgSz w:w="11910" w:h="16850"/>
      <w:pgMar w:top="1600" w:right="1120" w:bottom="1220" w:left="1300" w:header="0" w:footer="95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Kozuka Mincho Pr6N M"/>
    <w:panose1 w:val="02020609040205080304"/>
    <w:charset w:val="80"/>
    <w:family w:val="modern"/>
    <w:pitch w:val="default"/>
    <w:sig w:usb0="00000000" w:usb1="00000000" w:usb2="08000012" w:usb3="00000000" w:csb0="0002009F" w:csb1="00000000"/>
  </w:font>
  <w:font w:name="Arial">
    <w:panose1 w:val="020B0604020202020204"/>
    <w:charset w:val="00"/>
    <w:family w:val="auto"/>
    <w:pitch w:val="default"/>
    <w:sig w:usb0="E0002EFF" w:usb1="C000785B" w:usb2="00000009" w:usb3="00000000" w:csb0="400001FF" w:csb1="FFFF0000"/>
  </w:font>
  <w:font w:name="Kozuka Mincho Pr6N M">
    <w:panose1 w:val="02020600000000000000"/>
    <w:charset w:val="80"/>
    <w:family w:val="auto"/>
    <w:pitch w:val="default"/>
    <w:sig w:usb0="000002D7" w:usb1="2AC71C11" w:usb2="00000012" w:usb3="00000000" w:csb0="2002009F" w:csb1="00000000"/>
  </w:font>
  <w:font w:name="Swis721 LtCn BT">
    <w:panose1 w:val="020B0406020202030204"/>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ranti Solid LET">
    <w:panose1 w:val="00000000000000000000"/>
    <w:charset w:val="00"/>
    <w:family w:val="auto"/>
    <w:pitch w:val="default"/>
    <w:sig w:usb0="00000000" w:usb1="00000000" w:usb2="00000000" w:usb3="00000000" w:csb0="00000000" w:csb1="00000000"/>
  </w:font>
  <w:font w:name="Teknik">
    <w:panose1 w:val="00000000000000000000"/>
    <w:charset w:val="00"/>
    <w:family w:val="auto"/>
    <w:pitch w:val="default"/>
    <w:sig w:usb0="800000A7" w:usb1="0000004B" w:usb2="00000000" w:usb3="00000000" w:csb0="00000111" w:csb1="00000000"/>
  </w:font>
  <w:font w:name="Terminal Grotesque">
    <w:panose1 w:val="00000400000000000000"/>
    <w:charset w:val="00"/>
    <w:family w:val="auto"/>
    <w:pitch w:val="default"/>
    <w:sig w:usb0="A0000007" w:usb1="4000000A" w:usb2="00000000" w:usb3="00000000" w:csb0="000001FB" w:csb1="00000000"/>
  </w:font>
  <w:font w:name="TheMix-Plai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6"/>
      </w:rPr>
    </w:pPr>
    <w:r>
      <w:pict>
        <v:shape id="_x0000_s1026" o:spid="_x0000_s1026" o:spt="202" type="#_x0000_t202" style="position:absolute;left:0pt;margin-left:479.95pt;margin-top:779.95pt;height:14.05pt;width:54.2pt;mso-position-horizontal-relative:page;mso-position-vertical-relative:page;z-index:-10240;mso-width-relative:page;mso-height-relative:page;" filled="f" stroked="f" coordsize="21600,21600">
          <v:path/>
          <v:fill on="f" focussize="0,0"/>
          <v:stroke on="f" joinstyle="miter"/>
          <v:imagedata o:title=""/>
          <o:lock v:ext="edit"/>
          <v:textbox inset="0mm,0mm,0mm,0mm">
            <w:txbxContent>
              <w:p>
                <w:pPr>
                  <w:spacing w:before="19"/>
                  <w:ind w:left="20"/>
                  <w:rPr>
                    <w:rFonts w:hint="eastAsia" w:eastAsia="宋体"/>
                    <w:b/>
                    <w:sz w:val="20"/>
                    <w:lang w:val="en-US" w:eastAsia="zh-CN"/>
                  </w:rPr>
                </w:pPr>
                <w:r>
                  <w:rPr>
                    <w:sz w:val="20"/>
                  </w:rPr>
                  <w:t xml:space="preserve">Page </w:t>
                </w:r>
                <w:r>
                  <w:fldChar w:fldCharType="begin"/>
                </w:r>
                <w:r>
                  <w:rPr>
                    <w:b/>
                    <w:sz w:val="20"/>
                  </w:rPr>
                  <w:instrText xml:space="preserve"> PAGE </w:instrText>
                </w:r>
                <w:r>
                  <w:fldChar w:fldCharType="separate"/>
                </w:r>
                <w:r>
                  <w:rPr>
                    <w:b/>
                    <w:sz w:val="20"/>
                  </w:rPr>
                  <w:t>1</w:t>
                </w:r>
                <w:r>
                  <w:fldChar w:fldCharType="end"/>
                </w:r>
                <w:r>
                  <w:rPr>
                    <w:b/>
                    <w:sz w:val="20"/>
                  </w:rPr>
                  <w:t xml:space="preserve"> </w:t>
                </w:r>
                <w:r>
                  <w:rPr>
                    <w:sz w:val="20"/>
                  </w:rPr>
                  <w:t xml:space="preserve">of </w:t>
                </w:r>
                <w:r>
                  <w:rPr>
                    <w:rFonts w:hint="eastAsia" w:eastAsia="宋体"/>
                    <w:sz w:val="20"/>
                    <w:lang w:val="en-US" w:eastAsia="zh-CN"/>
                  </w:rPr>
                  <w:t>6</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8"/>
      </w:rPr>
    </w:pPr>
    <w:r>
      <w:pict>
        <v:shape id="_x0000_s1025" o:spid="_x0000_s1025" o:spt="202" type="#_x0000_t202" style="position:absolute;left:0pt;margin-left:479.95pt;margin-top:779.95pt;height:14.05pt;width:54.2pt;mso-position-horizontal-relative:page;mso-position-vertical-relative:page;z-index:-10240;mso-width-relative:page;mso-height-relative:page;" filled="f" stroked="f" coordsize="21600,21600">
          <v:path/>
          <v:fill on="f" focussize="0,0"/>
          <v:stroke on="f" joinstyle="miter"/>
          <v:imagedata o:title=""/>
          <o:lock v:ext="edit"/>
          <v:textbox inset="0mm,0mm,0mm,0mm">
            <w:txbxContent>
              <w:p>
                <w:pPr>
                  <w:spacing w:before="19"/>
                  <w:ind w:left="20"/>
                  <w:rPr>
                    <w:rFonts w:hint="eastAsia" w:eastAsia="宋体"/>
                    <w:b/>
                    <w:sz w:val="20"/>
                    <w:lang w:val="en-US" w:eastAsia="zh-CN"/>
                  </w:rPr>
                </w:pPr>
                <w:r>
                  <w:rPr>
                    <w:sz w:val="20"/>
                  </w:rPr>
                  <w:t xml:space="preserve">Page </w:t>
                </w:r>
                <w:r>
                  <w:fldChar w:fldCharType="begin"/>
                </w:r>
                <w:r>
                  <w:rPr>
                    <w:b/>
                    <w:sz w:val="20"/>
                  </w:rPr>
                  <w:instrText xml:space="preserve"> PAGE </w:instrText>
                </w:r>
                <w:r>
                  <w:fldChar w:fldCharType="separate"/>
                </w:r>
                <w:r>
                  <w:rPr>
                    <w:b/>
                    <w:sz w:val="20"/>
                  </w:rPr>
                  <w:t>4</w:t>
                </w:r>
                <w:r>
                  <w:fldChar w:fldCharType="end"/>
                </w:r>
                <w:r>
                  <w:rPr>
                    <w:b/>
                    <w:sz w:val="20"/>
                  </w:rPr>
                  <w:t xml:space="preserve"> </w:t>
                </w:r>
                <w:r>
                  <w:rPr>
                    <w:sz w:val="20"/>
                  </w:rPr>
                  <w:t xml:space="preserve">of </w:t>
                </w:r>
                <w:r>
                  <w:rPr>
                    <w:rFonts w:hint="eastAsia" w:eastAsia="宋体"/>
                    <w:sz w:val="20"/>
                    <w:lang w:val="en-US" w:eastAsia="zh-CN"/>
                  </w:rPr>
                  <w:t>6</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9312A"/>
    <w:multiLevelType w:val="multilevel"/>
    <w:tmpl w:val="6AE9312A"/>
    <w:lvl w:ilvl="0" w:tentative="0">
      <w:start w:val="1"/>
      <w:numFmt w:val="decimal"/>
      <w:lvlText w:val="%1."/>
      <w:lvlJc w:val="left"/>
      <w:pPr>
        <w:ind w:left="802" w:hanging="696"/>
      </w:pPr>
      <w:rPr>
        <w:rFonts w:hint="default" w:ascii="Tahoma" w:hAnsi="Tahoma" w:eastAsia="Tahoma" w:cs="Tahoma"/>
        <w:b/>
        <w:bCs/>
        <w:w w:val="99"/>
        <w:sz w:val="20"/>
        <w:szCs w:val="20"/>
        <w:lang w:val="en-US" w:eastAsia="en-US" w:bidi="en-US"/>
      </w:rPr>
    </w:lvl>
    <w:lvl w:ilvl="1" w:tentative="0">
      <w:start w:val="1"/>
      <w:numFmt w:val="decimal"/>
      <w:lvlText w:val="%1.%2"/>
      <w:lvlJc w:val="left"/>
      <w:pPr>
        <w:ind w:left="678" w:hanging="545"/>
      </w:pPr>
      <w:rPr>
        <w:rFonts w:hint="default"/>
        <w:b/>
        <w:bCs/>
        <w:w w:val="99"/>
        <w:lang w:val="en-US" w:eastAsia="en-US" w:bidi="en-US"/>
      </w:rPr>
    </w:lvl>
    <w:lvl w:ilvl="2" w:tentative="0">
      <w:start w:val="0"/>
      <w:numFmt w:val="bullet"/>
      <w:lvlText w:val="•"/>
      <w:lvlJc w:val="left"/>
      <w:pPr>
        <w:ind w:left="680" w:hanging="545"/>
      </w:pPr>
      <w:rPr>
        <w:rFonts w:hint="default"/>
        <w:lang w:val="en-US" w:eastAsia="en-US" w:bidi="en-US"/>
      </w:rPr>
    </w:lvl>
    <w:lvl w:ilvl="3" w:tentative="0">
      <w:start w:val="0"/>
      <w:numFmt w:val="bullet"/>
      <w:lvlText w:val="•"/>
      <w:lvlJc w:val="left"/>
      <w:pPr>
        <w:ind w:left="800" w:hanging="545"/>
      </w:pPr>
      <w:rPr>
        <w:rFonts w:hint="default"/>
        <w:lang w:val="en-US" w:eastAsia="en-US" w:bidi="en-US"/>
      </w:rPr>
    </w:lvl>
    <w:lvl w:ilvl="4" w:tentative="0">
      <w:start w:val="0"/>
      <w:numFmt w:val="bullet"/>
      <w:lvlText w:val="•"/>
      <w:lvlJc w:val="left"/>
      <w:pPr>
        <w:ind w:left="2040" w:hanging="545"/>
      </w:pPr>
      <w:rPr>
        <w:rFonts w:hint="default"/>
        <w:lang w:val="en-US" w:eastAsia="en-US" w:bidi="en-US"/>
      </w:rPr>
    </w:lvl>
    <w:lvl w:ilvl="5" w:tentative="0">
      <w:start w:val="0"/>
      <w:numFmt w:val="bullet"/>
      <w:lvlText w:val="•"/>
      <w:lvlJc w:val="left"/>
      <w:pPr>
        <w:ind w:left="3281" w:hanging="545"/>
      </w:pPr>
      <w:rPr>
        <w:rFonts w:hint="default"/>
        <w:lang w:val="en-US" w:eastAsia="en-US" w:bidi="en-US"/>
      </w:rPr>
    </w:lvl>
    <w:lvl w:ilvl="6" w:tentative="0">
      <w:start w:val="0"/>
      <w:numFmt w:val="bullet"/>
      <w:lvlText w:val="•"/>
      <w:lvlJc w:val="left"/>
      <w:pPr>
        <w:ind w:left="4521" w:hanging="545"/>
      </w:pPr>
      <w:rPr>
        <w:rFonts w:hint="default"/>
        <w:lang w:val="en-US" w:eastAsia="en-US" w:bidi="en-US"/>
      </w:rPr>
    </w:lvl>
    <w:lvl w:ilvl="7" w:tentative="0">
      <w:start w:val="0"/>
      <w:numFmt w:val="bullet"/>
      <w:lvlText w:val="•"/>
      <w:lvlJc w:val="left"/>
      <w:pPr>
        <w:ind w:left="5762" w:hanging="545"/>
      </w:pPr>
      <w:rPr>
        <w:rFonts w:hint="default"/>
        <w:lang w:val="en-US" w:eastAsia="en-US" w:bidi="en-US"/>
      </w:rPr>
    </w:lvl>
    <w:lvl w:ilvl="8" w:tentative="0">
      <w:start w:val="0"/>
      <w:numFmt w:val="bullet"/>
      <w:lvlText w:val="•"/>
      <w:lvlJc w:val="left"/>
      <w:pPr>
        <w:ind w:left="7002" w:hanging="54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1"/>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F04CA8"/>
    <w:rsid w:val="000303DA"/>
    <w:rsid w:val="00051C54"/>
    <w:rsid w:val="00076C89"/>
    <w:rsid w:val="000A4922"/>
    <w:rsid w:val="000B0A05"/>
    <w:rsid w:val="000C0F59"/>
    <w:rsid w:val="000D5E34"/>
    <w:rsid w:val="00101409"/>
    <w:rsid w:val="001174E5"/>
    <w:rsid w:val="001D22C5"/>
    <w:rsid w:val="00231C25"/>
    <w:rsid w:val="002425E7"/>
    <w:rsid w:val="002722B8"/>
    <w:rsid w:val="00275C84"/>
    <w:rsid w:val="00295F3F"/>
    <w:rsid w:val="002E00C2"/>
    <w:rsid w:val="003A49D1"/>
    <w:rsid w:val="003E4596"/>
    <w:rsid w:val="0045410F"/>
    <w:rsid w:val="00456DE8"/>
    <w:rsid w:val="00483856"/>
    <w:rsid w:val="00486A6D"/>
    <w:rsid w:val="004B28BC"/>
    <w:rsid w:val="00565950"/>
    <w:rsid w:val="005A398C"/>
    <w:rsid w:val="005C562D"/>
    <w:rsid w:val="005D16C9"/>
    <w:rsid w:val="00601421"/>
    <w:rsid w:val="00614288"/>
    <w:rsid w:val="0065295B"/>
    <w:rsid w:val="00691E07"/>
    <w:rsid w:val="007D3E16"/>
    <w:rsid w:val="007E430E"/>
    <w:rsid w:val="00925AE0"/>
    <w:rsid w:val="00951286"/>
    <w:rsid w:val="00953244"/>
    <w:rsid w:val="00973CA6"/>
    <w:rsid w:val="009E1D8F"/>
    <w:rsid w:val="009E7FDB"/>
    <w:rsid w:val="00A603A8"/>
    <w:rsid w:val="00A824B0"/>
    <w:rsid w:val="00B04C02"/>
    <w:rsid w:val="00B13076"/>
    <w:rsid w:val="00B5682A"/>
    <w:rsid w:val="00B67A54"/>
    <w:rsid w:val="00BA61E9"/>
    <w:rsid w:val="00BE1622"/>
    <w:rsid w:val="00BE1871"/>
    <w:rsid w:val="00C24B55"/>
    <w:rsid w:val="00C47AD9"/>
    <w:rsid w:val="00C97966"/>
    <w:rsid w:val="00CE15CE"/>
    <w:rsid w:val="00D20322"/>
    <w:rsid w:val="00D575E8"/>
    <w:rsid w:val="00D61E46"/>
    <w:rsid w:val="00D621CA"/>
    <w:rsid w:val="00DA7F53"/>
    <w:rsid w:val="00E217CA"/>
    <w:rsid w:val="00E25C2C"/>
    <w:rsid w:val="00F024E2"/>
    <w:rsid w:val="00F04CA8"/>
    <w:rsid w:val="05012180"/>
    <w:rsid w:val="245820B1"/>
    <w:rsid w:val="27994494"/>
    <w:rsid w:val="3E450BA1"/>
    <w:rsid w:val="41AB6F34"/>
    <w:rsid w:val="4DA91FD2"/>
    <w:rsid w:val="5E06368D"/>
    <w:rsid w:val="60076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ahoma" w:hAnsi="Tahoma" w:eastAsia="Tahoma" w:cs="Tahoma"/>
      <w:sz w:val="22"/>
      <w:szCs w:val="22"/>
      <w:lang w:val="en-US" w:eastAsia="en-US" w:bidi="en-US"/>
    </w:rPr>
  </w:style>
  <w:style w:type="paragraph" w:styleId="2">
    <w:name w:val="heading 1"/>
    <w:basedOn w:val="1"/>
    <w:next w:val="1"/>
    <w:qFormat/>
    <w:uiPriority w:val="9"/>
    <w:pPr>
      <w:ind w:left="188" w:right="185"/>
      <w:jc w:val="center"/>
      <w:outlineLvl w:val="0"/>
    </w:pPr>
    <w:rPr>
      <w:b/>
      <w:bCs/>
      <w:sz w:val="36"/>
      <w:szCs w:val="36"/>
    </w:rPr>
  </w:style>
  <w:style w:type="paragraph" w:styleId="3">
    <w:name w:val="heading 2"/>
    <w:basedOn w:val="1"/>
    <w:next w:val="1"/>
    <w:unhideWhenUsed/>
    <w:qFormat/>
    <w:uiPriority w:val="9"/>
    <w:pPr>
      <w:spacing w:before="184"/>
      <w:ind w:left="121"/>
      <w:outlineLvl w:val="1"/>
    </w:pPr>
    <w:rPr>
      <w:i/>
      <w:sz w:val="21"/>
      <w:szCs w:val="21"/>
    </w:rPr>
  </w:style>
  <w:style w:type="paragraph" w:styleId="4">
    <w:name w:val="heading 3"/>
    <w:basedOn w:val="1"/>
    <w:next w:val="1"/>
    <w:unhideWhenUsed/>
    <w:qFormat/>
    <w:uiPriority w:val="9"/>
    <w:pPr>
      <w:spacing w:before="196"/>
      <w:ind w:left="678" w:hanging="572"/>
      <w:outlineLvl w:val="2"/>
    </w:pPr>
    <w:rPr>
      <w:b/>
      <w:bCs/>
      <w:sz w:val="20"/>
      <w:szCs w:val="20"/>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ody Text"/>
    <w:basedOn w:val="1"/>
    <w:link w:val="15"/>
    <w:qFormat/>
    <w:uiPriority w:val="1"/>
    <w:rPr>
      <w:sz w:val="20"/>
      <w:szCs w:val="20"/>
    </w:rPr>
  </w:style>
  <w:style w:type="paragraph" w:styleId="6">
    <w:name w:val="Balloon Text"/>
    <w:basedOn w:val="1"/>
    <w:link w:val="18"/>
    <w:semiHidden/>
    <w:unhideWhenUsed/>
    <w:uiPriority w:val="99"/>
    <w:rPr>
      <w:sz w:val="18"/>
      <w:szCs w:val="18"/>
    </w:rPr>
  </w:style>
  <w:style w:type="paragraph" w:styleId="7">
    <w:name w:val="footer"/>
    <w:basedOn w:val="1"/>
    <w:link w:val="17"/>
    <w:unhideWhenUsed/>
    <w:qFormat/>
    <w:uiPriority w:val="99"/>
    <w:pPr>
      <w:tabs>
        <w:tab w:val="center" w:pos="4153"/>
        <w:tab w:val="right" w:pos="8306"/>
      </w:tabs>
      <w:snapToGrid w:val="0"/>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196"/>
      <w:ind w:left="678" w:hanging="572"/>
    </w:pPr>
  </w:style>
  <w:style w:type="paragraph" w:customStyle="1" w:styleId="14">
    <w:name w:val="Table Paragraph"/>
    <w:basedOn w:val="1"/>
    <w:qFormat/>
    <w:uiPriority w:val="1"/>
  </w:style>
  <w:style w:type="character" w:customStyle="1" w:styleId="15">
    <w:name w:val="正文文本 字符"/>
    <w:basedOn w:val="11"/>
    <w:link w:val="5"/>
    <w:uiPriority w:val="1"/>
    <w:rPr>
      <w:rFonts w:ascii="Tahoma" w:hAnsi="Tahoma" w:eastAsia="Tahoma" w:cs="Tahoma"/>
      <w:sz w:val="20"/>
      <w:szCs w:val="20"/>
      <w:lang w:bidi="en-US"/>
    </w:rPr>
  </w:style>
  <w:style w:type="character" w:customStyle="1" w:styleId="16">
    <w:name w:val="页眉 字符"/>
    <w:basedOn w:val="11"/>
    <w:link w:val="8"/>
    <w:uiPriority w:val="99"/>
    <w:rPr>
      <w:rFonts w:ascii="Tahoma" w:hAnsi="Tahoma" w:eastAsia="Tahoma" w:cs="Tahoma"/>
      <w:sz w:val="18"/>
      <w:szCs w:val="18"/>
      <w:lang w:bidi="en-US"/>
    </w:rPr>
  </w:style>
  <w:style w:type="character" w:customStyle="1" w:styleId="17">
    <w:name w:val="页脚 字符"/>
    <w:basedOn w:val="11"/>
    <w:link w:val="7"/>
    <w:qFormat/>
    <w:uiPriority w:val="99"/>
    <w:rPr>
      <w:rFonts w:ascii="Tahoma" w:hAnsi="Tahoma" w:eastAsia="Tahoma" w:cs="Tahoma"/>
      <w:sz w:val="18"/>
      <w:szCs w:val="18"/>
      <w:lang w:bidi="en-US"/>
    </w:rPr>
  </w:style>
  <w:style w:type="character" w:customStyle="1" w:styleId="18">
    <w:name w:val="批注框文本 字符"/>
    <w:basedOn w:val="11"/>
    <w:link w:val="6"/>
    <w:semiHidden/>
    <w:uiPriority w:val="99"/>
    <w:rPr>
      <w:rFonts w:ascii="Tahoma" w:hAnsi="Tahoma" w:eastAsia="Tahoma" w:cs="Tahoma"/>
      <w:sz w:val="18"/>
      <w:szCs w:val="18"/>
      <w:lang w:bidi="en-US"/>
    </w:rPr>
  </w:style>
  <w:style w:type="paragraph" w:styleId="19">
    <w:name w:val="No Spacing"/>
    <w:qFormat/>
    <w:uiPriority w:val="1"/>
    <w:pPr>
      <w:widowControl/>
      <w:autoSpaceDE/>
      <w:autoSpaceDN/>
    </w:pPr>
    <w:rPr>
      <w:rFonts w:ascii="Times New Roman" w:hAnsi="Times New Roman" w:eastAsia="MS Mincho" w:cs="Times New Roman"/>
      <w:sz w:val="20"/>
      <w:szCs w:val="20"/>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1212</Words>
  <Characters>6911</Characters>
  <Lines>57</Lines>
  <Paragraphs>16</Paragraphs>
  <TotalTime>131</TotalTime>
  <ScaleCrop>false</ScaleCrop>
  <LinksUpToDate>false</LinksUpToDate>
  <CharactersWithSpaces>8107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2018-07-07T07:33:00Z</dcterms:created>
  <dc:creator>Levin</dc:creator>
  <cp:lastModifiedBy>Levin</cp:lastModifiedBy>
  <dcterms:modified xsi:type="dcterms:W3CDTF">2021-03-05T01:18:56Z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2016</vt:lpwstr>
  </property>
  <property fmtid="{D5CDD505-2E9C-101B-9397-08002B2CF9AE}" pid="4" name="LastSaved">
    <vt:filetime>2018-07-07T00:00:00Z</vt:filetime>
  </property>
  <property fmtid="{D5CDD505-2E9C-101B-9397-08002B2CF9AE}" pid="5" name="KSOProductBuildVer">
    <vt:lpwstr>2052-11.1.0.10314</vt:lpwstr>
  </property>
</Properties>
</file>